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440" w:rsidRDefault="002A5440" w:rsidP="002117CD">
      <w:pPr>
        <w:jc w:val="center"/>
        <w:rPr>
          <w:b/>
          <w:snapToGrid w:val="0"/>
          <w:szCs w:val="24"/>
        </w:rPr>
      </w:pPr>
    </w:p>
    <w:p w:rsidR="002A5440" w:rsidRPr="00C355E8" w:rsidRDefault="002A5440" w:rsidP="002A5440">
      <w:pPr>
        <w:pStyle w:val="ad"/>
        <w:keepNext/>
        <w:rPr>
          <w:b/>
          <w:bCs/>
          <w:color w:val="000000"/>
          <w:sz w:val="24"/>
        </w:rPr>
      </w:pPr>
      <w:r w:rsidRPr="00C355E8">
        <w:rPr>
          <w:b/>
          <w:bCs/>
          <w:color w:val="000000"/>
          <w:sz w:val="24"/>
        </w:rPr>
        <w:t>УТВЕРЖДАЮ:</w:t>
      </w:r>
    </w:p>
    <w:p w:rsidR="002A5440" w:rsidRPr="00C355E8" w:rsidRDefault="002A5440" w:rsidP="002A5440">
      <w:pPr>
        <w:pStyle w:val="ad"/>
        <w:keepNext/>
        <w:rPr>
          <w:b/>
          <w:bCs/>
          <w:color w:val="000000"/>
          <w:sz w:val="24"/>
        </w:rPr>
      </w:pPr>
    </w:p>
    <w:p w:rsidR="002A5440" w:rsidRPr="00C355E8" w:rsidRDefault="002A5440" w:rsidP="002A5440">
      <w:pPr>
        <w:keepNext/>
        <w:rPr>
          <w:b/>
          <w:bCs/>
          <w:color w:val="000000"/>
          <w:szCs w:val="24"/>
        </w:rPr>
      </w:pPr>
      <w:r w:rsidRPr="00C355E8">
        <w:rPr>
          <w:b/>
          <w:bCs/>
          <w:color w:val="000000"/>
          <w:szCs w:val="24"/>
        </w:rPr>
        <w:t>Начальник управления собственностью</w:t>
      </w:r>
    </w:p>
    <w:p w:rsidR="002A5440" w:rsidRPr="00C355E8" w:rsidRDefault="002A5440" w:rsidP="002A5440">
      <w:pPr>
        <w:keepNext/>
        <w:rPr>
          <w:b/>
          <w:color w:val="000000"/>
          <w:szCs w:val="24"/>
        </w:rPr>
      </w:pPr>
      <w:r w:rsidRPr="00C355E8">
        <w:rPr>
          <w:b/>
          <w:bCs/>
          <w:color w:val="000000"/>
        </w:rPr>
        <w:t xml:space="preserve">Филиала ПАО "МРСК Центра" </w:t>
      </w:r>
      <w:r w:rsidRPr="00C355E8">
        <w:rPr>
          <w:b/>
          <w:bCs/>
          <w:color w:val="000000"/>
        </w:rPr>
        <w:noBreakHyphen/>
        <w:t xml:space="preserve"> "Воронежэнерго"</w:t>
      </w:r>
    </w:p>
    <w:p w:rsidR="002A5440" w:rsidRPr="00C355E8" w:rsidRDefault="002A5440" w:rsidP="002A5440">
      <w:pPr>
        <w:pStyle w:val="ad"/>
        <w:keepNext/>
        <w:rPr>
          <w:b/>
          <w:bCs/>
          <w:color w:val="000000"/>
          <w:sz w:val="24"/>
        </w:rPr>
      </w:pPr>
      <w:r w:rsidRPr="00C355E8">
        <w:rPr>
          <w:b/>
          <w:bCs/>
          <w:color w:val="000000"/>
          <w:sz w:val="24"/>
        </w:rPr>
        <w:t xml:space="preserve">___________ </w:t>
      </w:r>
      <w:r w:rsidRPr="00AA4FA3">
        <w:rPr>
          <w:b/>
          <w:bCs/>
          <w:color w:val="000000"/>
          <w:sz w:val="24"/>
        </w:rPr>
        <w:t>/</w:t>
      </w:r>
      <w:r w:rsidRPr="00AA4FA3">
        <w:rPr>
          <w:b/>
          <w:color w:val="000000"/>
          <w:sz w:val="24"/>
        </w:rPr>
        <w:t xml:space="preserve"> Хованцева Н.Е. /</w:t>
      </w:r>
    </w:p>
    <w:p w:rsidR="002A5440" w:rsidRPr="00C355E8" w:rsidRDefault="002A5440" w:rsidP="002A5440">
      <w:pPr>
        <w:pStyle w:val="ad"/>
        <w:keepNext/>
        <w:rPr>
          <w:b/>
          <w:bCs/>
          <w:color w:val="000000"/>
          <w:sz w:val="24"/>
        </w:rPr>
      </w:pPr>
      <w:r w:rsidRPr="00C355E8">
        <w:rPr>
          <w:b/>
          <w:bCs/>
          <w:color w:val="000000"/>
          <w:sz w:val="24"/>
        </w:rPr>
        <w:t xml:space="preserve">                     </w:t>
      </w:r>
      <w:r w:rsidRPr="00C355E8">
        <w:rPr>
          <w:bCs/>
          <w:color w:val="000000"/>
          <w:sz w:val="16"/>
          <w:szCs w:val="16"/>
        </w:rPr>
        <w:t>подпись</w:t>
      </w:r>
    </w:p>
    <w:p w:rsidR="002A5440" w:rsidRPr="00C355E8" w:rsidRDefault="002A5440" w:rsidP="002A5440">
      <w:pPr>
        <w:pStyle w:val="ad"/>
        <w:keepNext/>
        <w:tabs>
          <w:tab w:val="left" w:pos="10773"/>
          <w:tab w:val="left" w:pos="12540"/>
          <w:tab w:val="left" w:pos="14295"/>
        </w:tabs>
        <w:ind w:left="4860"/>
        <w:rPr>
          <w:b/>
          <w:bCs/>
          <w:color w:val="000000"/>
          <w:sz w:val="24"/>
        </w:rPr>
      </w:pPr>
    </w:p>
    <w:p w:rsidR="002A5440" w:rsidRPr="00C355E8" w:rsidRDefault="002A5440" w:rsidP="002A5440">
      <w:pPr>
        <w:keepNext/>
        <w:rPr>
          <w:b/>
          <w:bCs/>
          <w:color w:val="000000"/>
          <w:szCs w:val="24"/>
        </w:rPr>
      </w:pPr>
      <w:r w:rsidRPr="00C355E8">
        <w:rPr>
          <w:b/>
          <w:bCs/>
          <w:color w:val="000000"/>
          <w:szCs w:val="24"/>
        </w:rPr>
        <w:t>«__</w:t>
      </w:r>
      <w:proofErr w:type="gramStart"/>
      <w:r w:rsidRPr="00C355E8">
        <w:rPr>
          <w:b/>
          <w:bCs/>
          <w:color w:val="000000"/>
          <w:szCs w:val="24"/>
        </w:rPr>
        <w:t>_»_</w:t>
      </w:r>
      <w:proofErr w:type="gramEnd"/>
      <w:r w:rsidRPr="00C355E8">
        <w:rPr>
          <w:b/>
          <w:bCs/>
          <w:color w:val="000000"/>
          <w:szCs w:val="24"/>
        </w:rPr>
        <w:t>__________201</w:t>
      </w:r>
      <w:r>
        <w:rPr>
          <w:b/>
          <w:bCs/>
          <w:color w:val="000000"/>
          <w:szCs w:val="24"/>
        </w:rPr>
        <w:t>9</w:t>
      </w:r>
      <w:r w:rsidRPr="00C355E8">
        <w:rPr>
          <w:b/>
          <w:bCs/>
          <w:color w:val="000000"/>
          <w:szCs w:val="24"/>
        </w:rPr>
        <w:t> г.</w:t>
      </w:r>
    </w:p>
    <w:p w:rsidR="002A5440" w:rsidRDefault="002A5440" w:rsidP="002117CD">
      <w:pPr>
        <w:jc w:val="center"/>
        <w:rPr>
          <w:b/>
          <w:snapToGrid w:val="0"/>
          <w:szCs w:val="24"/>
        </w:rPr>
      </w:pPr>
    </w:p>
    <w:p w:rsidR="002117CD" w:rsidRPr="009B7749" w:rsidRDefault="00A76C0A" w:rsidP="002117CD">
      <w:pPr>
        <w:jc w:val="center"/>
        <w:rPr>
          <w:b/>
          <w:snapToGrid w:val="0"/>
          <w:szCs w:val="24"/>
        </w:rPr>
      </w:pPr>
      <w:r>
        <w:rPr>
          <w:b/>
          <w:snapToGrid w:val="0"/>
          <w:szCs w:val="24"/>
        </w:rPr>
        <w:t>ЗАДАНИ</w:t>
      </w:r>
      <w:r w:rsidR="002A5440">
        <w:rPr>
          <w:b/>
          <w:snapToGrid w:val="0"/>
          <w:szCs w:val="24"/>
        </w:rPr>
        <w:t>Е</w:t>
      </w:r>
    </w:p>
    <w:p w:rsidR="002117CD" w:rsidRDefault="002117CD" w:rsidP="002117CD">
      <w:pPr>
        <w:spacing w:after="120"/>
        <w:ind w:right="480"/>
        <w:jc w:val="both"/>
        <w:rPr>
          <w:szCs w:val="24"/>
        </w:rPr>
      </w:pPr>
    </w:p>
    <w:p w:rsidR="002117CD" w:rsidRPr="002A5440" w:rsidRDefault="002117CD" w:rsidP="002117CD">
      <w:pPr>
        <w:pStyle w:val="a4"/>
        <w:numPr>
          <w:ilvl w:val="1"/>
          <w:numId w:val="3"/>
        </w:numPr>
        <w:suppressAutoHyphens/>
        <w:ind w:hanging="502"/>
        <w:rPr>
          <w:rFonts w:ascii="Times New Roman" w:hAnsi="Times New Roman"/>
          <w:b/>
          <w:bCs/>
          <w:i/>
          <w:sz w:val="24"/>
          <w:szCs w:val="24"/>
          <w:u w:val="single"/>
          <w:lang w:eastAsia="ar-SA"/>
        </w:rPr>
      </w:pPr>
      <w:r w:rsidRPr="002A5440">
        <w:rPr>
          <w:rFonts w:ascii="Times New Roman" w:hAnsi="Times New Roman"/>
          <w:b/>
          <w:bCs/>
          <w:sz w:val="24"/>
          <w:szCs w:val="24"/>
          <w:lang w:eastAsia="ar-SA"/>
        </w:rPr>
        <w:t xml:space="preserve">Предмет договора:  </w:t>
      </w:r>
    </w:p>
    <w:p w:rsidR="002117CD" w:rsidRPr="002A5440" w:rsidRDefault="002117CD" w:rsidP="000C0C9D">
      <w:pPr>
        <w:spacing w:before="120" w:after="120"/>
        <w:jc w:val="both"/>
        <w:rPr>
          <w:b/>
          <w:szCs w:val="24"/>
        </w:rPr>
      </w:pPr>
      <w:r w:rsidRPr="002A5440">
        <w:rPr>
          <w:b/>
          <w:szCs w:val="24"/>
        </w:rPr>
        <w:t xml:space="preserve">Оказание услуг по оценке рыночной стоимости </w:t>
      </w:r>
      <w:r w:rsidR="009716FF" w:rsidRPr="002A5440">
        <w:rPr>
          <w:b/>
          <w:szCs w:val="24"/>
        </w:rPr>
        <w:t>100</w:t>
      </w:r>
      <w:r w:rsidRPr="002A5440">
        <w:rPr>
          <w:b/>
          <w:szCs w:val="24"/>
        </w:rPr>
        <w:t>% пакета акций АО «</w:t>
      </w:r>
      <w:r w:rsidR="009716FF" w:rsidRPr="002A5440">
        <w:rPr>
          <w:b/>
          <w:szCs w:val="24"/>
        </w:rPr>
        <w:t xml:space="preserve">Воронежская   </w:t>
      </w:r>
      <w:proofErr w:type="spellStart"/>
      <w:r w:rsidR="009716FF" w:rsidRPr="002A5440">
        <w:rPr>
          <w:b/>
          <w:szCs w:val="24"/>
        </w:rPr>
        <w:t>горэлектросеть</w:t>
      </w:r>
      <w:proofErr w:type="spellEnd"/>
      <w:r w:rsidRPr="002A5440">
        <w:rPr>
          <w:b/>
          <w:szCs w:val="24"/>
        </w:rPr>
        <w:t>»</w:t>
      </w:r>
      <w:r w:rsidR="007561EE" w:rsidRPr="002A5440">
        <w:rPr>
          <w:b/>
          <w:szCs w:val="24"/>
        </w:rPr>
        <w:t xml:space="preserve"> и услуг по сопровождению экспертизы отчета об оценке саморегулируемой организацией оценщиков</w:t>
      </w:r>
      <w:r w:rsidRPr="002A5440">
        <w:rPr>
          <w:b/>
          <w:szCs w:val="24"/>
        </w:rPr>
        <w:t>.</w:t>
      </w:r>
    </w:p>
    <w:p w:rsidR="002117CD" w:rsidRPr="002A5440" w:rsidRDefault="002117CD" w:rsidP="002117CD">
      <w:pPr>
        <w:pStyle w:val="a4"/>
        <w:numPr>
          <w:ilvl w:val="1"/>
          <w:numId w:val="3"/>
        </w:numPr>
        <w:spacing w:before="120" w:after="120"/>
        <w:ind w:hanging="502"/>
        <w:rPr>
          <w:rFonts w:ascii="Times New Roman" w:hAnsi="Times New Roman"/>
          <w:b/>
          <w:szCs w:val="24"/>
        </w:rPr>
      </w:pPr>
      <w:r w:rsidRPr="002A5440">
        <w:rPr>
          <w:rFonts w:ascii="Times New Roman" w:hAnsi="Times New Roman"/>
          <w:b/>
          <w:sz w:val="24"/>
          <w:szCs w:val="24"/>
        </w:rPr>
        <w:t>Перечень основных этапов оказания услуг</w:t>
      </w:r>
      <w:r w:rsidRPr="002A5440">
        <w:rPr>
          <w:rFonts w:ascii="Times New Roman" w:hAnsi="Times New Roman"/>
          <w:b/>
          <w:szCs w:val="24"/>
        </w:rPr>
        <w:t>:</w:t>
      </w:r>
    </w:p>
    <w:p w:rsidR="002117CD" w:rsidRPr="002A5440" w:rsidRDefault="002117CD" w:rsidP="002117CD">
      <w:pPr>
        <w:spacing w:before="120" w:after="120"/>
        <w:ind w:firstLine="709"/>
        <w:jc w:val="both"/>
        <w:rPr>
          <w:b/>
          <w:szCs w:val="24"/>
        </w:rPr>
      </w:pPr>
      <w:r w:rsidRPr="002A5440">
        <w:rPr>
          <w:b/>
          <w:szCs w:val="24"/>
        </w:rPr>
        <w:t>Первый этап:</w:t>
      </w:r>
    </w:p>
    <w:p w:rsidR="00A4664F" w:rsidRPr="002A5440" w:rsidRDefault="00A4664F" w:rsidP="002117CD">
      <w:pPr>
        <w:ind w:firstLine="709"/>
        <w:jc w:val="both"/>
        <w:rPr>
          <w:szCs w:val="24"/>
        </w:rPr>
      </w:pPr>
      <w:r w:rsidRPr="002A5440">
        <w:rPr>
          <w:szCs w:val="24"/>
        </w:rPr>
        <w:t xml:space="preserve">Оказание услуг по оценке рыночной стоимости 100% пакета акций АО «Воронежская </w:t>
      </w:r>
      <w:proofErr w:type="spellStart"/>
      <w:r w:rsidRPr="002A5440">
        <w:rPr>
          <w:szCs w:val="24"/>
        </w:rPr>
        <w:t>горэлектросеть</w:t>
      </w:r>
      <w:proofErr w:type="spellEnd"/>
      <w:r w:rsidRPr="002A5440">
        <w:rPr>
          <w:szCs w:val="24"/>
        </w:rPr>
        <w:t>». Проведение оценки рыночной стоимости и подготовка Отчета об оценке на установленную настоящим Заданием дату оценки.</w:t>
      </w:r>
    </w:p>
    <w:p w:rsidR="002117CD" w:rsidRPr="002A5440" w:rsidRDefault="002117CD" w:rsidP="002117CD">
      <w:pPr>
        <w:spacing w:before="120" w:after="120"/>
        <w:ind w:firstLine="709"/>
        <w:jc w:val="both"/>
        <w:rPr>
          <w:b/>
          <w:szCs w:val="24"/>
        </w:rPr>
      </w:pPr>
      <w:r w:rsidRPr="002A5440">
        <w:rPr>
          <w:b/>
          <w:szCs w:val="24"/>
        </w:rPr>
        <w:t>Второй этап:</w:t>
      </w:r>
    </w:p>
    <w:p w:rsidR="002117CD" w:rsidRPr="003D1565" w:rsidRDefault="002117CD" w:rsidP="002117CD">
      <w:pPr>
        <w:ind w:firstLine="709"/>
        <w:jc w:val="both"/>
        <w:rPr>
          <w:szCs w:val="24"/>
        </w:rPr>
      </w:pPr>
      <w:r w:rsidRPr="002A5440">
        <w:rPr>
          <w:szCs w:val="24"/>
        </w:rPr>
        <w:t xml:space="preserve">Сопровождение экспертизы саморегулируемой организации оценщиков Отчета об оценке, подготовленного </w:t>
      </w:r>
      <w:r w:rsidR="007561EE" w:rsidRPr="002A5440">
        <w:rPr>
          <w:szCs w:val="24"/>
        </w:rPr>
        <w:t>оценщиком на первом</w:t>
      </w:r>
      <w:r w:rsidRPr="002A5440">
        <w:rPr>
          <w:szCs w:val="24"/>
        </w:rPr>
        <w:t xml:space="preserve"> этапе, и предоставление положительного</w:t>
      </w:r>
      <w:r w:rsidRPr="003D1565">
        <w:rPr>
          <w:szCs w:val="24"/>
        </w:rPr>
        <w:t xml:space="preserve"> экспертного заключения.</w:t>
      </w:r>
    </w:p>
    <w:p w:rsidR="002117CD" w:rsidRPr="003D1565" w:rsidRDefault="002117CD" w:rsidP="002117CD">
      <w:pPr>
        <w:numPr>
          <w:ilvl w:val="0"/>
          <w:numId w:val="3"/>
        </w:numPr>
        <w:spacing w:before="240" w:after="240"/>
        <w:ind w:left="0" w:firstLine="0"/>
        <w:jc w:val="center"/>
        <w:rPr>
          <w:b/>
          <w:szCs w:val="24"/>
        </w:rPr>
      </w:pPr>
      <w:r w:rsidRPr="003D1565">
        <w:rPr>
          <w:b/>
          <w:szCs w:val="24"/>
        </w:rPr>
        <w:t>ПЕРВЫЙ ЭТАП</w:t>
      </w:r>
    </w:p>
    <w:p w:rsidR="002117CD" w:rsidRPr="003D1565" w:rsidRDefault="002117CD" w:rsidP="002117CD">
      <w:pPr>
        <w:jc w:val="center"/>
        <w:rPr>
          <w:b/>
          <w:szCs w:val="24"/>
        </w:rPr>
      </w:pPr>
      <w:r w:rsidRPr="003D1565">
        <w:rPr>
          <w:b/>
          <w:szCs w:val="24"/>
        </w:rPr>
        <w:t>оказание услуг по о</w:t>
      </w:r>
      <w:r w:rsidR="00587BCC">
        <w:rPr>
          <w:b/>
          <w:szCs w:val="24"/>
        </w:rPr>
        <w:t xml:space="preserve">ценке рыночной стоимости </w:t>
      </w:r>
      <w:r w:rsidR="00040A5A">
        <w:rPr>
          <w:b/>
          <w:szCs w:val="24"/>
        </w:rPr>
        <w:t>100</w:t>
      </w:r>
      <w:r w:rsidRPr="003D1565">
        <w:rPr>
          <w:b/>
          <w:szCs w:val="24"/>
        </w:rPr>
        <w:t>% пакета акций</w:t>
      </w:r>
      <w:r w:rsidRPr="003D1565">
        <w:rPr>
          <w:b/>
          <w:szCs w:val="24"/>
        </w:rPr>
        <w:br/>
        <w:t>АО «</w:t>
      </w:r>
      <w:r w:rsidR="00040A5A">
        <w:rPr>
          <w:b/>
          <w:szCs w:val="24"/>
        </w:rPr>
        <w:t xml:space="preserve">Воронежская </w:t>
      </w:r>
      <w:proofErr w:type="spellStart"/>
      <w:r w:rsidR="00040A5A">
        <w:rPr>
          <w:b/>
          <w:szCs w:val="24"/>
        </w:rPr>
        <w:t>горэлектросеть</w:t>
      </w:r>
      <w:proofErr w:type="spellEnd"/>
      <w:r w:rsidRPr="003D1565">
        <w:rPr>
          <w:b/>
          <w:szCs w:val="24"/>
        </w:rPr>
        <w:t>»</w:t>
      </w:r>
    </w:p>
    <w:p w:rsidR="002117CD" w:rsidRPr="003D1565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Объект оценки:</w:t>
      </w:r>
    </w:p>
    <w:p w:rsidR="002117CD" w:rsidRDefault="00040A5A" w:rsidP="002117CD">
      <w:pPr>
        <w:spacing w:before="120" w:after="120"/>
        <w:ind w:firstLine="709"/>
        <w:jc w:val="both"/>
        <w:rPr>
          <w:szCs w:val="24"/>
        </w:rPr>
      </w:pPr>
      <w:r>
        <w:rPr>
          <w:szCs w:val="24"/>
        </w:rPr>
        <w:t>100</w:t>
      </w:r>
      <w:r w:rsidR="002117CD" w:rsidRPr="003D1565">
        <w:rPr>
          <w:szCs w:val="24"/>
        </w:rPr>
        <w:t>% пакет акций Компании.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117CD" w:rsidRPr="003D1565" w:rsidTr="008B0A1C">
        <w:tc>
          <w:tcPr>
            <w:tcW w:w="5000" w:type="pct"/>
            <w:gridSpan w:val="2"/>
            <w:shd w:val="clear" w:color="auto" w:fill="auto"/>
          </w:tcPr>
          <w:p w:rsidR="002117CD" w:rsidRPr="003D1565" w:rsidRDefault="002117CD" w:rsidP="008B0A1C">
            <w:pPr>
              <w:jc w:val="center"/>
              <w:rPr>
                <w:sz w:val="20"/>
              </w:rPr>
            </w:pPr>
            <w:r w:rsidRPr="003D1565">
              <w:rPr>
                <w:b/>
                <w:sz w:val="20"/>
              </w:rPr>
              <w:t>Краткая информация об Объекте оценки</w:t>
            </w:r>
          </w:p>
        </w:tc>
      </w:tr>
      <w:tr w:rsidR="002117CD" w:rsidRPr="003D1565" w:rsidTr="008B0A1C">
        <w:tc>
          <w:tcPr>
            <w:tcW w:w="2500" w:type="pct"/>
            <w:shd w:val="clear" w:color="auto" w:fill="auto"/>
          </w:tcPr>
          <w:p w:rsidR="002117CD" w:rsidRPr="003D1565" w:rsidRDefault="002117CD" w:rsidP="008B0A1C">
            <w:pPr>
              <w:rPr>
                <w:sz w:val="20"/>
              </w:rPr>
            </w:pPr>
            <w:r w:rsidRPr="003D1565">
              <w:rPr>
                <w:sz w:val="20"/>
              </w:rPr>
              <w:t>Количество оцениваемых акций, шт.</w:t>
            </w:r>
          </w:p>
        </w:tc>
        <w:tc>
          <w:tcPr>
            <w:tcW w:w="2500" w:type="pct"/>
            <w:shd w:val="clear" w:color="auto" w:fill="auto"/>
          </w:tcPr>
          <w:p w:rsidR="002117CD" w:rsidRPr="003D1565" w:rsidRDefault="00520A79" w:rsidP="008B0A1C">
            <w:pPr>
              <w:rPr>
                <w:sz w:val="20"/>
              </w:rPr>
            </w:pPr>
            <w:r>
              <w:rPr>
                <w:sz w:val="20"/>
              </w:rPr>
              <w:t>3 148 372</w:t>
            </w:r>
          </w:p>
        </w:tc>
      </w:tr>
      <w:tr w:rsidR="002117CD" w:rsidRPr="003D1565" w:rsidTr="008B0A1C">
        <w:tc>
          <w:tcPr>
            <w:tcW w:w="2500" w:type="pct"/>
            <w:shd w:val="clear" w:color="auto" w:fill="auto"/>
          </w:tcPr>
          <w:p w:rsidR="002117CD" w:rsidRPr="003D1565" w:rsidRDefault="002117CD" w:rsidP="008B0A1C">
            <w:pPr>
              <w:rPr>
                <w:sz w:val="20"/>
              </w:rPr>
            </w:pPr>
            <w:r w:rsidRPr="003D1565">
              <w:rPr>
                <w:sz w:val="20"/>
              </w:rPr>
              <w:t>Категория (тип)</w:t>
            </w:r>
          </w:p>
        </w:tc>
        <w:tc>
          <w:tcPr>
            <w:tcW w:w="2500" w:type="pct"/>
            <w:shd w:val="clear" w:color="auto" w:fill="auto"/>
          </w:tcPr>
          <w:p w:rsidR="002117CD" w:rsidRPr="003D1565" w:rsidRDefault="002117CD" w:rsidP="008B0A1C">
            <w:pPr>
              <w:rPr>
                <w:sz w:val="20"/>
              </w:rPr>
            </w:pPr>
            <w:r w:rsidRPr="003D1565">
              <w:rPr>
                <w:sz w:val="20"/>
              </w:rPr>
              <w:t>Обыкновенные именные бездокументарные</w:t>
            </w:r>
          </w:p>
        </w:tc>
      </w:tr>
      <w:tr w:rsidR="002117CD" w:rsidRPr="003D1565" w:rsidTr="008B0A1C">
        <w:tc>
          <w:tcPr>
            <w:tcW w:w="2500" w:type="pct"/>
            <w:shd w:val="clear" w:color="auto" w:fill="auto"/>
          </w:tcPr>
          <w:p w:rsidR="002117CD" w:rsidRPr="003D1565" w:rsidRDefault="002117CD" w:rsidP="008B0A1C">
            <w:pPr>
              <w:rPr>
                <w:sz w:val="20"/>
              </w:rPr>
            </w:pPr>
            <w:r w:rsidRPr="003D1565">
              <w:rPr>
                <w:bCs/>
                <w:snapToGrid w:val="0"/>
                <w:sz w:val="20"/>
                <w:lang w:eastAsia="ar-SA"/>
              </w:rPr>
              <w:t>Государственный регистрационный номер выпуска, дата регистрации</w:t>
            </w:r>
          </w:p>
        </w:tc>
        <w:tc>
          <w:tcPr>
            <w:tcW w:w="2500" w:type="pct"/>
            <w:shd w:val="clear" w:color="auto" w:fill="auto"/>
          </w:tcPr>
          <w:p w:rsidR="002117CD" w:rsidRPr="003D1565" w:rsidRDefault="00A85920" w:rsidP="008B0A1C">
            <w:pPr>
              <w:rPr>
                <w:sz w:val="20"/>
              </w:rPr>
            </w:pPr>
            <w:r>
              <w:rPr>
                <w:sz w:val="20"/>
              </w:rPr>
              <w:t>1-01-86024-Н от 27.07.2018</w:t>
            </w:r>
          </w:p>
        </w:tc>
      </w:tr>
      <w:tr w:rsidR="002117CD" w:rsidRPr="003D1565" w:rsidTr="008B0A1C">
        <w:tc>
          <w:tcPr>
            <w:tcW w:w="5000" w:type="pct"/>
            <w:gridSpan w:val="2"/>
            <w:shd w:val="clear" w:color="auto" w:fill="auto"/>
          </w:tcPr>
          <w:p w:rsidR="002117CD" w:rsidRPr="003D1565" w:rsidRDefault="002117CD" w:rsidP="008B0A1C">
            <w:pPr>
              <w:jc w:val="center"/>
              <w:rPr>
                <w:sz w:val="20"/>
              </w:rPr>
            </w:pPr>
            <w:r w:rsidRPr="003D1565">
              <w:rPr>
                <w:b/>
                <w:sz w:val="20"/>
              </w:rPr>
              <w:t>Краткая информация об организации, акции которой подлежат оценке</w:t>
            </w:r>
          </w:p>
        </w:tc>
      </w:tr>
      <w:tr w:rsidR="002117CD" w:rsidRPr="003D1565" w:rsidTr="008B0A1C">
        <w:tc>
          <w:tcPr>
            <w:tcW w:w="2500" w:type="pct"/>
            <w:shd w:val="clear" w:color="auto" w:fill="auto"/>
          </w:tcPr>
          <w:p w:rsidR="002117CD" w:rsidRPr="003D1565" w:rsidRDefault="002117CD" w:rsidP="008B0A1C">
            <w:pPr>
              <w:rPr>
                <w:sz w:val="20"/>
              </w:rPr>
            </w:pPr>
            <w:r w:rsidRPr="003D1565">
              <w:rPr>
                <w:sz w:val="20"/>
              </w:rPr>
              <w:t>Организационно-правовая форма организации, акции которой подлежат оценке</w:t>
            </w:r>
          </w:p>
        </w:tc>
        <w:tc>
          <w:tcPr>
            <w:tcW w:w="2500" w:type="pct"/>
            <w:shd w:val="clear" w:color="auto" w:fill="auto"/>
          </w:tcPr>
          <w:p w:rsidR="002117CD" w:rsidRPr="003D1565" w:rsidRDefault="002117CD" w:rsidP="008B0A1C">
            <w:pPr>
              <w:rPr>
                <w:sz w:val="20"/>
              </w:rPr>
            </w:pPr>
            <w:r w:rsidRPr="003D1565">
              <w:rPr>
                <w:sz w:val="20"/>
              </w:rPr>
              <w:t>Акционерное общество</w:t>
            </w:r>
          </w:p>
        </w:tc>
      </w:tr>
      <w:tr w:rsidR="002117CD" w:rsidRPr="003D1565" w:rsidTr="008B0A1C">
        <w:tc>
          <w:tcPr>
            <w:tcW w:w="2500" w:type="pct"/>
            <w:shd w:val="clear" w:color="auto" w:fill="auto"/>
          </w:tcPr>
          <w:p w:rsidR="002117CD" w:rsidRPr="003D1565" w:rsidRDefault="002117CD" w:rsidP="008B0A1C">
            <w:pPr>
              <w:rPr>
                <w:sz w:val="20"/>
              </w:rPr>
            </w:pPr>
            <w:r w:rsidRPr="003D1565">
              <w:rPr>
                <w:sz w:val="20"/>
              </w:rPr>
              <w:t>Наименование (сокращенное наименование)</w:t>
            </w:r>
          </w:p>
        </w:tc>
        <w:tc>
          <w:tcPr>
            <w:tcW w:w="2500" w:type="pct"/>
            <w:shd w:val="clear" w:color="auto" w:fill="auto"/>
          </w:tcPr>
          <w:p w:rsidR="002117CD" w:rsidRPr="003D1565" w:rsidRDefault="002117CD" w:rsidP="00B278C3">
            <w:pPr>
              <w:rPr>
                <w:sz w:val="20"/>
              </w:rPr>
            </w:pPr>
            <w:r w:rsidRPr="003D1565">
              <w:rPr>
                <w:sz w:val="20"/>
              </w:rPr>
              <w:t>Акционерное общество «</w:t>
            </w:r>
            <w:r w:rsidR="00B278C3">
              <w:rPr>
                <w:sz w:val="20"/>
              </w:rPr>
              <w:t xml:space="preserve">Воронежская </w:t>
            </w:r>
            <w:proofErr w:type="spellStart"/>
            <w:r w:rsidR="00B278C3">
              <w:rPr>
                <w:sz w:val="20"/>
              </w:rPr>
              <w:t>горэлектросеть</w:t>
            </w:r>
            <w:proofErr w:type="spellEnd"/>
            <w:r w:rsidRPr="003D1565">
              <w:rPr>
                <w:sz w:val="20"/>
              </w:rPr>
              <w:t>» (АО «</w:t>
            </w:r>
            <w:r w:rsidR="00B278C3">
              <w:rPr>
                <w:sz w:val="20"/>
              </w:rPr>
              <w:t>ВГЭС</w:t>
            </w:r>
            <w:r w:rsidRPr="003D1565">
              <w:rPr>
                <w:sz w:val="20"/>
              </w:rPr>
              <w:t>»)</w:t>
            </w:r>
          </w:p>
        </w:tc>
      </w:tr>
      <w:tr w:rsidR="002117CD" w:rsidRPr="003D1565" w:rsidTr="008B0A1C">
        <w:tc>
          <w:tcPr>
            <w:tcW w:w="2500" w:type="pct"/>
            <w:shd w:val="clear" w:color="auto" w:fill="auto"/>
          </w:tcPr>
          <w:p w:rsidR="002117CD" w:rsidRPr="003D1565" w:rsidRDefault="002117CD" w:rsidP="008B0A1C">
            <w:pPr>
              <w:rPr>
                <w:sz w:val="20"/>
              </w:rPr>
            </w:pPr>
            <w:r w:rsidRPr="003D1565">
              <w:rPr>
                <w:sz w:val="20"/>
              </w:rPr>
              <w:t>ИНН</w:t>
            </w:r>
          </w:p>
        </w:tc>
        <w:tc>
          <w:tcPr>
            <w:tcW w:w="2500" w:type="pct"/>
            <w:shd w:val="clear" w:color="auto" w:fill="auto"/>
          </w:tcPr>
          <w:p w:rsidR="002117CD" w:rsidRPr="00A85920" w:rsidRDefault="00A85920" w:rsidP="008B0A1C">
            <w:pPr>
              <w:rPr>
                <w:sz w:val="20"/>
              </w:rPr>
            </w:pPr>
            <w:r w:rsidRPr="00A85920">
              <w:rPr>
                <w:sz w:val="20"/>
              </w:rPr>
              <w:t>3666231341</w:t>
            </w:r>
          </w:p>
        </w:tc>
      </w:tr>
      <w:tr w:rsidR="002117CD" w:rsidRPr="003D1565" w:rsidTr="008B0A1C">
        <w:tc>
          <w:tcPr>
            <w:tcW w:w="2500" w:type="pct"/>
            <w:shd w:val="clear" w:color="auto" w:fill="auto"/>
          </w:tcPr>
          <w:p w:rsidR="002117CD" w:rsidRPr="003D1565" w:rsidRDefault="002117CD" w:rsidP="008B0A1C">
            <w:pPr>
              <w:rPr>
                <w:sz w:val="20"/>
              </w:rPr>
            </w:pPr>
            <w:r w:rsidRPr="003D1565">
              <w:rPr>
                <w:sz w:val="20"/>
              </w:rPr>
              <w:t>ОГРН, дата присвоения</w:t>
            </w:r>
          </w:p>
        </w:tc>
        <w:tc>
          <w:tcPr>
            <w:tcW w:w="2500" w:type="pct"/>
            <w:shd w:val="clear" w:color="auto" w:fill="auto"/>
          </w:tcPr>
          <w:p w:rsidR="002117CD" w:rsidRPr="003D1565" w:rsidRDefault="00D87221" w:rsidP="008B0A1C">
            <w:pPr>
              <w:rPr>
                <w:sz w:val="20"/>
              </w:rPr>
            </w:pPr>
            <w:r>
              <w:rPr>
                <w:sz w:val="20"/>
              </w:rPr>
              <w:t>1183668042062, дата государственной регистрации 22.10.2018г.</w:t>
            </w:r>
          </w:p>
        </w:tc>
      </w:tr>
      <w:tr w:rsidR="002117CD" w:rsidRPr="003D1565" w:rsidTr="008B0A1C">
        <w:trPr>
          <w:trHeight w:val="214"/>
        </w:trPr>
        <w:tc>
          <w:tcPr>
            <w:tcW w:w="2500" w:type="pct"/>
            <w:shd w:val="clear" w:color="auto" w:fill="auto"/>
          </w:tcPr>
          <w:p w:rsidR="002117CD" w:rsidRPr="003D1565" w:rsidRDefault="002117CD" w:rsidP="008B0A1C">
            <w:pPr>
              <w:rPr>
                <w:sz w:val="20"/>
              </w:rPr>
            </w:pPr>
            <w:r w:rsidRPr="003D1565">
              <w:rPr>
                <w:sz w:val="20"/>
              </w:rPr>
              <w:t>Место нахождения</w:t>
            </w:r>
          </w:p>
        </w:tc>
        <w:tc>
          <w:tcPr>
            <w:tcW w:w="2500" w:type="pct"/>
            <w:shd w:val="clear" w:color="auto" w:fill="auto"/>
          </w:tcPr>
          <w:p w:rsidR="002117CD" w:rsidRPr="003D1565" w:rsidRDefault="00D87221" w:rsidP="008B0A1C">
            <w:pPr>
              <w:rPr>
                <w:sz w:val="20"/>
              </w:rPr>
            </w:pPr>
            <w:r>
              <w:rPr>
                <w:sz w:val="20"/>
              </w:rPr>
              <w:t xml:space="preserve">РФ, Воронежская область, </w:t>
            </w:r>
            <w:proofErr w:type="spellStart"/>
            <w:r>
              <w:rPr>
                <w:sz w:val="20"/>
              </w:rPr>
              <w:t>г.Воронеж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ул.Карла</w:t>
            </w:r>
            <w:proofErr w:type="spellEnd"/>
            <w:r>
              <w:rPr>
                <w:sz w:val="20"/>
              </w:rPr>
              <w:t xml:space="preserve"> Маркса, д.65</w:t>
            </w:r>
          </w:p>
        </w:tc>
      </w:tr>
      <w:tr w:rsidR="002117CD" w:rsidRPr="003D1565" w:rsidTr="008B0A1C">
        <w:trPr>
          <w:trHeight w:val="214"/>
        </w:trPr>
        <w:tc>
          <w:tcPr>
            <w:tcW w:w="2500" w:type="pct"/>
            <w:shd w:val="clear" w:color="auto" w:fill="auto"/>
          </w:tcPr>
          <w:p w:rsidR="002117CD" w:rsidRPr="003D1565" w:rsidRDefault="002117CD" w:rsidP="008B0A1C">
            <w:pPr>
              <w:rPr>
                <w:sz w:val="20"/>
              </w:rPr>
            </w:pPr>
            <w:r w:rsidRPr="003D1565">
              <w:rPr>
                <w:sz w:val="20"/>
              </w:rPr>
              <w:t>Веб сайт</w:t>
            </w:r>
          </w:p>
        </w:tc>
        <w:tc>
          <w:tcPr>
            <w:tcW w:w="2500" w:type="pct"/>
            <w:shd w:val="clear" w:color="auto" w:fill="auto"/>
          </w:tcPr>
          <w:p w:rsidR="002117CD" w:rsidRPr="003D1565" w:rsidRDefault="00520A79" w:rsidP="00520A79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www.</w:t>
            </w:r>
            <w:r w:rsidRPr="00520A79">
              <w:rPr>
                <w:sz w:val="20"/>
                <w:lang w:val="en-US"/>
              </w:rPr>
              <w:t>vrnges.ru</w:t>
            </w:r>
          </w:p>
        </w:tc>
      </w:tr>
    </w:tbl>
    <w:p w:rsidR="002117CD" w:rsidRDefault="002117CD" w:rsidP="002117CD">
      <w:pPr>
        <w:ind w:firstLine="709"/>
        <w:jc w:val="both"/>
        <w:rPr>
          <w:szCs w:val="24"/>
        </w:rPr>
      </w:pPr>
    </w:p>
    <w:p w:rsidR="002A5440" w:rsidRPr="003D1565" w:rsidRDefault="002A5440" w:rsidP="002117CD">
      <w:pPr>
        <w:ind w:firstLine="709"/>
        <w:jc w:val="both"/>
        <w:rPr>
          <w:szCs w:val="24"/>
        </w:rPr>
      </w:pPr>
    </w:p>
    <w:p w:rsidR="002117CD" w:rsidRPr="003D1565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Имущественные права на Объект оценки:</w:t>
      </w:r>
    </w:p>
    <w:p w:rsidR="002117CD" w:rsidRDefault="002117CD" w:rsidP="002117CD">
      <w:pPr>
        <w:spacing w:after="120"/>
        <w:ind w:firstLine="709"/>
        <w:jc w:val="both"/>
        <w:rPr>
          <w:szCs w:val="24"/>
        </w:rPr>
      </w:pPr>
      <w:r w:rsidRPr="003D1565">
        <w:rPr>
          <w:szCs w:val="24"/>
        </w:rPr>
        <w:t>Право собственности.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2943"/>
        <w:gridCol w:w="3828"/>
        <w:gridCol w:w="1417"/>
        <w:gridCol w:w="1701"/>
      </w:tblGrid>
      <w:tr w:rsidR="002117CD" w:rsidRPr="003D1565" w:rsidTr="008B0A1C">
        <w:tc>
          <w:tcPr>
            <w:tcW w:w="9889" w:type="dxa"/>
            <w:gridSpan w:val="4"/>
          </w:tcPr>
          <w:p w:rsidR="002117CD" w:rsidRPr="003D1565" w:rsidRDefault="002117CD" w:rsidP="008B0A1C">
            <w:pPr>
              <w:jc w:val="center"/>
              <w:rPr>
                <w:b/>
                <w:sz w:val="20"/>
              </w:rPr>
            </w:pPr>
            <w:r w:rsidRPr="003D1565">
              <w:rPr>
                <w:b/>
                <w:sz w:val="20"/>
              </w:rPr>
              <w:t>Сведения о собственниках/акционерах</w:t>
            </w:r>
          </w:p>
        </w:tc>
      </w:tr>
      <w:tr w:rsidR="002117CD" w:rsidRPr="003D1565" w:rsidTr="004A771C">
        <w:tc>
          <w:tcPr>
            <w:tcW w:w="2943" w:type="dxa"/>
          </w:tcPr>
          <w:p w:rsidR="002117CD" w:rsidRPr="003D1565" w:rsidRDefault="002117CD" w:rsidP="008B0A1C">
            <w:pPr>
              <w:jc w:val="center"/>
              <w:rPr>
                <w:b/>
                <w:sz w:val="20"/>
              </w:rPr>
            </w:pPr>
            <w:r w:rsidRPr="003D1565">
              <w:rPr>
                <w:b/>
                <w:sz w:val="20"/>
              </w:rPr>
              <w:t>Наименование</w:t>
            </w:r>
          </w:p>
        </w:tc>
        <w:tc>
          <w:tcPr>
            <w:tcW w:w="3828" w:type="dxa"/>
          </w:tcPr>
          <w:p w:rsidR="002117CD" w:rsidRPr="003D1565" w:rsidRDefault="002117CD" w:rsidP="008B0A1C">
            <w:pPr>
              <w:jc w:val="center"/>
              <w:rPr>
                <w:b/>
                <w:sz w:val="20"/>
              </w:rPr>
            </w:pPr>
            <w:r w:rsidRPr="003D1565">
              <w:rPr>
                <w:b/>
                <w:sz w:val="20"/>
              </w:rPr>
              <w:t>Местонахождение</w:t>
            </w:r>
          </w:p>
        </w:tc>
        <w:tc>
          <w:tcPr>
            <w:tcW w:w="1417" w:type="dxa"/>
          </w:tcPr>
          <w:p w:rsidR="002117CD" w:rsidRPr="003D1565" w:rsidRDefault="002117CD" w:rsidP="008B0A1C">
            <w:pPr>
              <w:jc w:val="center"/>
              <w:rPr>
                <w:b/>
                <w:sz w:val="20"/>
              </w:rPr>
            </w:pPr>
            <w:r w:rsidRPr="003D1565">
              <w:rPr>
                <w:b/>
                <w:sz w:val="20"/>
              </w:rPr>
              <w:t>Доля в УК, руб.</w:t>
            </w:r>
          </w:p>
        </w:tc>
        <w:tc>
          <w:tcPr>
            <w:tcW w:w="1701" w:type="dxa"/>
          </w:tcPr>
          <w:p w:rsidR="002117CD" w:rsidRPr="003D1565" w:rsidRDefault="002117CD" w:rsidP="008B0A1C">
            <w:pPr>
              <w:jc w:val="center"/>
              <w:rPr>
                <w:b/>
                <w:sz w:val="20"/>
              </w:rPr>
            </w:pPr>
            <w:r w:rsidRPr="003D1565">
              <w:rPr>
                <w:b/>
                <w:sz w:val="20"/>
              </w:rPr>
              <w:t>Доля в УК, %</w:t>
            </w:r>
          </w:p>
        </w:tc>
      </w:tr>
      <w:tr w:rsidR="002117CD" w:rsidRPr="003D1565" w:rsidTr="004A771C">
        <w:tc>
          <w:tcPr>
            <w:tcW w:w="2943" w:type="dxa"/>
          </w:tcPr>
          <w:p w:rsidR="002117CD" w:rsidRPr="00520A79" w:rsidRDefault="00520A79" w:rsidP="00520A79">
            <w:pPr>
              <w:jc w:val="both"/>
              <w:rPr>
                <w:sz w:val="20"/>
              </w:rPr>
            </w:pPr>
            <w:r>
              <w:rPr>
                <w:sz w:val="20"/>
              </w:rPr>
              <w:t>Муниципальное образование городской округ город Воронеж</w:t>
            </w:r>
          </w:p>
        </w:tc>
        <w:tc>
          <w:tcPr>
            <w:tcW w:w="3828" w:type="dxa"/>
          </w:tcPr>
          <w:p w:rsidR="002117CD" w:rsidRPr="004A771C" w:rsidRDefault="004A771C" w:rsidP="000336B7">
            <w:pPr>
              <w:jc w:val="center"/>
              <w:rPr>
                <w:color w:val="000000" w:themeColor="text1"/>
                <w:sz w:val="20"/>
              </w:rPr>
            </w:pPr>
            <w:r w:rsidRPr="004A771C">
              <w:rPr>
                <w:color w:val="000000" w:themeColor="text1"/>
                <w:sz w:val="20"/>
              </w:rPr>
              <w:t xml:space="preserve">394018, </w:t>
            </w:r>
            <w:proofErr w:type="spellStart"/>
            <w:r w:rsidRPr="004A771C">
              <w:rPr>
                <w:color w:val="000000" w:themeColor="text1"/>
                <w:sz w:val="20"/>
              </w:rPr>
              <w:t>г.Воронеж</w:t>
            </w:r>
            <w:proofErr w:type="spellEnd"/>
            <w:r w:rsidRPr="004A771C">
              <w:rPr>
                <w:color w:val="000000" w:themeColor="text1"/>
                <w:sz w:val="20"/>
              </w:rPr>
              <w:t xml:space="preserve">, </w:t>
            </w:r>
            <w:proofErr w:type="spellStart"/>
            <w:r w:rsidRPr="004A771C">
              <w:rPr>
                <w:color w:val="000000" w:themeColor="text1"/>
                <w:sz w:val="20"/>
              </w:rPr>
              <w:t>ул.Плехановская</w:t>
            </w:r>
            <w:proofErr w:type="spellEnd"/>
            <w:r w:rsidRPr="004A771C">
              <w:rPr>
                <w:color w:val="000000" w:themeColor="text1"/>
                <w:sz w:val="20"/>
              </w:rPr>
              <w:t>, 10</w:t>
            </w:r>
          </w:p>
        </w:tc>
        <w:tc>
          <w:tcPr>
            <w:tcW w:w="1417" w:type="dxa"/>
          </w:tcPr>
          <w:p w:rsidR="002117CD" w:rsidRPr="003D1565" w:rsidRDefault="00D43566" w:rsidP="0052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3 148  372 000</w:t>
            </w:r>
          </w:p>
        </w:tc>
        <w:tc>
          <w:tcPr>
            <w:tcW w:w="1701" w:type="dxa"/>
          </w:tcPr>
          <w:p w:rsidR="002117CD" w:rsidRPr="003D1565" w:rsidRDefault="00520A79" w:rsidP="0052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2117CD" w:rsidRPr="003D1565" w:rsidTr="004A771C">
        <w:tc>
          <w:tcPr>
            <w:tcW w:w="2943" w:type="dxa"/>
          </w:tcPr>
          <w:p w:rsidR="002117CD" w:rsidRPr="003D1565" w:rsidRDefault="002117CD" w:rsidP="008B0A1C">
            <w:pPr>
              <w:jc w:val="both"/>
              <w:rPr>
                <w:b/>
                <w:sz w:val="20"/>
              </w:rPr>
            </w:pPr>
            <w:r w:rsidRPr="003D1565">
              <w:rPr>
                <w:b/>
                <w:sz w:val="20"/>
              </w:rPr>
              <w:t>Итого:</w:t>
            </w:r>
          </w:p>
        </w:tc>
        <w:tc>
          <w:tcPr>
            <w:tcW w:w="3828" w:type="dxa"/>
          </w:tcPr>
          <w:p w:rsidR="002117CD" w:rsidRPr="003D1565" w:rsidRDefault="002117CD" w:rsidP="008B0A1C">
            <w:pPr>
              <w:jc w:val="both"/>
              <w:rPr>
                <w:b/>
                <w:sz w:val="20"/>
              </w:rPr>
            </w:pPr>
          </w:p>
        </w:tc>
        <w:tc>
          <w:tcPr>
            <w:tcW w:w="1417" w:type="dxa"/>
          </w:tcPr>
          <w:p w:rsidR="002117CD" w:rsidRPr="003D1565" w:rsidRDefault="002117CD" w:rsidP="008B0A1C">
            <w:pPr>
              <w:jc w:val="right"/>
              <w:rPr>
                <w:b/>
                <w:sz w:val="20"/>
              </w:rPr>
            </w:pPr>
          </w:p>
        </w:tc>
        <w:tc>
          <w:tcPr>
            <w:tcW w:w="1701" w:type="dxa"/>
          </w:tcPr>
          <w:p w:rsidR="002117CD" w:rsidRPr="003D1565" w:rsidRDefault="002117CD" w:rsidP="008B0A1C">
            <w:pPr>
              <w:jc w:val="right"/>
              <w:rPr>
                <w:b/>
                <w:sz w:val="20"/>
              </w:rPr>
            </w:pPr>
          </w:p>
        </w:tc>
      </w:tr>
    </w:tbl>
    <w:p w:rsidR="002117CD" w:rsidRPr="003D1565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Вид определяемой стоимости:</w:t>
      </w:r>
    </w:p>
    <w:p w:rsidR="002117CD" w:rsidRPr="003D1565" w:rsidRDefault="002117CD" w:rsidP="002117CD">
      <w:pPr>
        <w:spacing w:after="120"/>
        <w:ind w:firstLine="709"/>
        <w:jc w:val="both"/>
        <w:rPr>
          <w:szCs w:val="24"/>
        </w:rPr>
      </w:pPr>
      <w:r w:rsidRPr="003D1565">
        <w:rPr>
          <w:szCs w:val="24"/>
        </w:rPr>
        <w:t>Рыночная.</w:t>
      </w:r>
    </w:p>
    <w:p w:rsidR="002117CD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Дата оценки:</w:t>
      </w:r>
    </w:p>
    <w:p w:rsidR="00587BCC" w:rsidRPr="00515DAA" w:rsidRDefault="00587BCC" w:rsidP="00587BCC">
      <w:pPr>
        <w:spacing w:before="120" w:after="120"/>
        <w:rPr>
          <w:szCs w:val="24"/>
        </w:rPr>
      </w:pPr>
      <w:r>
        <w:rPr>
          <w:b/>
          <w:szCs w:val="24"/>
        </w:rPr>
        <w:t xml:space="preserve">            </w:t>
      </w:r>
      <w:r w:rsidR="00515DAA">
        <w:rPr>
          <w:szCs w:val="24"/>
        </w:rPr>
        <w:t>Н</w:t>
      </w:r>
      <w:r w:rsidR="00515DAA" w:rsidRPr="00515DAA">
        <w:rPr>
          <w:szCs w:val="24"/>
        </w:rPr>
        <w:t>а дату осмотра объекта оценки</w:t>
      </w:r>
      <w:r w:rsidR="00515DAA">
        <w:rPr>
          <w:szCs w:val="24"/>
        </w:rPr>
        <w:t>.</w:t>
      </w:r>
    </w:p>
    <w:p w:rsidR="002117CD" w:rsidRPr="003D1565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Цель оценки:</w:t>
      </w:r>
    </w:p>
    <w:p w:rsidR="002117CD" w:rsidRPr="003D1565" w:rsidRDefault="002117CD" w:rsidP="002117CD">
      <w:pPr>
        <w:spacing w:after="120"/>
        <w:ind w:firstLine="709"/>
        <w:jc w:val="both"/>
        <w:rPr>
          <w:szCs w:val="24"/>
        </w:rPr>
      </w:pPr>
      <w:r w:rsidRPr="003D1565">
        <w:rPr>
          <w:szCs w:val="24"/>
        </w:rPr>
        <w:t>Определение рыночной стоимости Объекта оценки.</w:t>
      </w:r>
    </w:p>
    <w:p w:rsidR="002117CD" w:rsidRPr="003D1565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Предполагаемое использование результатов оценки и связанные с этим ограничения:</w:t>
      </w:r>
    </w:p>
    <w:p w:rsidR="002117CD" w:rsidRPr="003D1565" w:rsidRDefault="002117CD" w:rsidP="002117CD">
      <w:pPr>
        <w:spacing w:after="120"/>
        <w:ind w:firstLine="709"/>
        <w:jc w:val="both"/>
        <w:rPr>
          <w:szCs w:val="24"/>
        </w:rPr>
      </w:pPr>
      <w:r w:rsidRPr="003D1565">
        <w:rPr>
          <w:szCs w:val="24"/>
        </w:rPr>
        <w:t>Для принятия управленческих решений, в том числе о заключении договора купли-продажи.</w:t>
      </w:r>
    </w:p>
    <w:p w:rsidR="002117CD" w:rsidRPr="003D1565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Ограничения, связанные с предполагаемым использованием результатов оценки:</w:t>
      </w:r>
    </w:p>
    <w:p w:rsidR="002117CD" w:rsidRPr="003D1565" w:rsidRDefault="002117CD" w:rsidP="002117CD">
      <w:pPr>
        <w:spacing w:after="120"/>
        <w:ind w:firstLine="709"/>
        <w:jc w:val="both"/>
        <w:rPr>
          <w:szCs w:val="24"/>
        </w:rPr>
      </w:pPr>
      <w:r w:rsidRPr="003D1565">
        <w:rPr>
          <w:szCs w:val="24"/>
        </w:rPr>
        <w:t>Результаты оценки могут быть использованы в течение 6 месяцев с даты составления Отчета.</w:t>
      </w:r>
    </w:p>
    <w:p w:rsidR="002117CD" w:rsidRPr="003D1565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Ограничения и обременения оцениваемых прав:</w:t>
      </w:r>
    </w:p>
    <w:p w:rsidR="002117CD" w:rsidRPr="003D1565" w:rsidRDefault="002117CD" w:rsidP="002117CD">
      <w:pPr>
        <w:spacing w:after="120"/>
        <w:ind w:firstLine="709"/>
        <w:jc w:val="both"/>
        <w:rPr>
          <w:szCs w:val="24"/>
        </w:rPr>
      </w:pPr>
      <w:r w:rsidRPr="003D1565">
        <w:rPr>
          <w:szCs w:val="24"/>
        </w:rPr>
        <w:t>Оценка проводится в предположении отсутствия обременений, связанных с Объектом оценки.</w:t>
      </w:r>
    </w:p>
    <w:p w:rsidR="002117CD" w:rsidRPr="003D1565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Нормативная база:</w:t>
      </w:r>
    </w:p>
    <w:p w:rsidR="002117CD" w:rsidRPr="003D1565" w:rsidRDefault="002117CD" w:rsidP="002117CD">
      <w:pPr>
        <w:tabs>
          <w:tab w:val="num" w:pos="1134"/>
        </w:tabs>
        <w:ind w:firstLine="709"/>
        <w:rPr>
          <w:szCs w:val="24"/>
        </w:rPr>
      </w:pPr>
      <w:r w:rsidRPr="003D1565">
        <w:rPr>
          <w:szCs w:val="24"/>
        </w:rPr>
        <w:t>Услуги по оценке оказываются в соответствии с требованиями законодательства РФ к порядку проведения оценки, в том числе с учетом требований:</w:t>
      </w:r>
    </w:p>
    <w:p w:rsidR="002117CD" w:rsidRPr="003D1565" w:rsidRDefault="002117CD" w:rsidP="002117CD">
      <w:pPr>
        <w:numPr>
          <w:ilvl w:val="0"/>
          <w:numId w:val="19"/>
        </w:numPr>
        <w:tabs>
          <w:tab w:val="num" w:pos="567"/>
          <w:tab w:val="num" w:pos="1418"/>
        </w:tabs>
        <w:spacing w:before="120"/>
        <w:ind w:left="0" w:firstLine="709"/>
        <w:jc w:val="both"/>
        <w:rPr>
          <w:szCs w:val="24"/>
        </w:rPr>
      </w:pPr>
      <w:r w:rsidRPr="003D1565">
        <w:rPr>
          <w:szCs w:val="24"/>
        </w:rPr>
        <w:t>Гражданского кодекса;</w:t>
      </w:r>
    </w:p>
    <w:p w:rsidR="002117CD" w:rsidRPr="003D1565" w:rsidRDefault="002117CD" w:rsidP="002117CD">
      <w:pPr>
        <w:numPr>
          <w:ilvl w:val="0"/>
          <w:numId w:val="19"/>
        </w:numPr>
        <w:tabs>
          <w:tab w:val="num" w:pos="567"/>
          <w:tab w:val="num" w:pos="1418"/>
        </w:tabs>
        <w:ind w:left="0" w:firstLine="709"/>
        <w:jc w:val="both"/>
        <w:rPr>
          <w:szCs w:val="24"/>
        </w:rPr>
      </w:pPr>
      <w:r w:rsidRPr="003D1565">
        <w:rPr>
          <w:szCs w:val="24"/>
        </w:rPr>
        <w:t>Федерального закона от 29 июля 1998 г. № 135-ФЗ «Об оценочной деятельности в Российской Федерации»;</w:t>
      </w:r>
    </w:p>
    <w:p w:rsidR="002117CD" w:rsidRPr="003D1565" w:rsidRDefault="002117CD" w:rsidP="002117CD">
      <w:pPr>
        <w:numPr>
          <w:ilvl w:val="0"/>
          <w:numId w:val="19"/>
        </w:numPr>
        <w:tabs>
          <w:tab w:val="num" w:pos="567"/>
          <w:tab w:val="num" w:pos="1418"/>
        </w:tabs>
        <w:ind w:left="0" w:firstLine="709"/>
        <w:jc w:val="both"/>
        <w:rPr>
          <w:szCs w:val="24"/>
        </w:rPr>
      </w:pPr>
      <w:r w:rsidRPr="003D1565">
        <w:rPr>
          <w:szCs w:val="24"/>
        </w:rPr>
        <w:t>Приказов Минэкономразвития России от 20.05.2015 № 297 «Об утверждении Федерального стандарта оценки «Общие понятия оценки, подходы и требования к проведению оценки (ФСО № 1)», от 20.05.2015 № 298 «Об утверждении Федерального стандарта оценки «Цель оценки и виды стоимости (ФСО № 2)», от 20.05.2015 № 299 «Об утверждении Федерального стандарта оценки «Требования к отчету об оценке (ФСО № 3)», от 25.09.2014 № 611 «Об утверждении Федерального стандарта оценки «Оценка недвижимости (ФСО № 7)», от 01.06.2015 №</w:t>
      </w:r>
      <w:r w:rsidRPr="003D1565">
        <w:rPr>
          <w:szCs w:val="24"/>
          <w:lang w:val="en-US"/>
        </w:rPr>
        <w:t> </w:t>
      </w:r>
      <w:r w:rsidRPr="003D1565">
        <w:rPr>
          <w:szCs w:val="24"/>
        </w:rPr>
        <w:t>326 «Об утверждении Федерального стандарта оценки «Оценка бизнеса (ФСО №</w:t>
      </w:r>
      <w:r w:rsidRPr="003D1565">
        <w:rPr>
          <w:szCs w:val="24"/>
          <w:lang w:val="en-US"/>
        </w:rPr>
        <w:t> </w:t>
      </w:r>
      <w:r w:rsidRPr="003D1565">
        <w:rPr>
          <w:szCs w:val="24"/>
        </w:rPr>
        <w:t>8)»; от 01.06.2015 №</w:t>
      </w:r>
      <w:r w:rsidRPr="003D1565">
        <w:rPr>
          <w:szCs w:val="24"/>
          <w:lang w:val="en-US"/>
        </w:rPr>
        <w:t> </w:t>
      </w:r>
      <w:r w:rsidRPr="003D1565">
        <w:rPr>
          <w:szCs w:val="24"/>
        </w:rPr>
        <w:t>328 «Об утверждении Федерального стандарта оценки «Оценка стоимости машин и оборудования (ФСО №</w:t>
      </w:r>
      <w:r w:rsidRPr="003D1565">
        <w:rPr>
          <w:szCs w:val="24"/>
          <w:lang w:val="en-US"/>
        </w:rPr>
        <w:t> </w:t>
      </w:r>
      <w:r w:rsidRPr="003D1565">
        <w:rPr>
          <w:szCs w:val="24"/>
        </w:rPr>
        <w:t>10)»;</w:t>
      </w:r>
    </w:p>
    <w:p w:rsidR="002117CD" w:rsidRPr="003D1565" w:rsidRDefault="002117CD" w:rsidP="002117CD">
      <w:pPr>
        <w:numPr>
          <w:ilvl w:val="0"/>
          <w:numId w:val="19"/>
        </w:numPr>
        <w:tabs>
          <w:tab w:val="num" w:pos="567"/>
          <w:tab w:val="num" w:pos="1418"/>
        </w:tabs>
        <w:ind w:left="0" w:firstLine="709"/>
        <w:jc w:val="both"/>
        <w:rPr>
          <w:szCs w:val="24"/>
        </w:rPr>
      </w:pPr>
      <w:r w:rsidRPr="003D1565">
        <w:rPr>
          <w:szCs w:val="24"/>
        </w:rPr>
        <w:t>стандартов и правил оценочной деятельности саморегулируемой организации оценщиков;</w:t>
      </w:r>
    </w:p>
    <w:p w:rsidR="002117CD" w:rsidRPr="003D1565" w:rsidRDefault="002117CD" w:rsidP="002117CD">
      <w:pPr>
        <w:numPr>
          <w:ilvl w:val="0"/>
          <w:numId w:val="19"/>
        </w:numPr>
        <w:tabs>
          <w:tab w:val="num" w:pos="567"/>
          <w:tab w:val="num" w:pos="1418"/>
        </w:tabs>
        <w:ind w:left="0" w:firstLine="709"/>
        <w:jc w:val="both"/>
        <w:rPr>
          <w:szCs w:val="24"/>
        </w:rPr>
      </w:pPr>
      <w:r w:rsidRPr="003D1565">
        <w:rPr>
          <w:szCs w:val="24"/>
        </w:rPr>
        <w:t xml:space="preserve">методологии и руководства по проведению оценки бизнеса и/или активов, размещенных по адресу: </w:t>
      </w:r>
      <w:hyperlink r:id="rId6" w:history="1">
        <w:r w:rsidRPr="003D1565">
          <w:rPr>
            <w:szCs w:val="24"/>
          </w:rPr>
          <w:t>http://www.rosseti.ru/about/property</w:t>
        </w:r>
      </w:hyperlink>
      <w:r w:rsidRPr="003D1565">
        <w:rPr>
          <w:szCs w:val="24"/>
        </w:rPr>
        <w:t>.</w:t>
      </w:r>
    </w:p>
    <w:p w:rsidR="002117CD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Основные этапы оказания услуг по оценке:</w:t>
      </w:r>
    </w:p>
    <w:p w:rsidR="002117CD" w:rsidRPr="003D1565" w:rsidRDefault="002117CD" w:rsidP="002117CD">
      <w:pPr>
        <w:numPr>
          <w:ilvl w:val="0"/>
          <w:numId w:val="20"/>
        </w:numPr>
        <w:tabs>
          <w:tab w:val="left" w:pos="142"/>
        </w:tabs>
        <w:ind w:left="0" w:firstLine="709"/>
        <w:jc w:val="both"/>
        <w:rPr>
          <w:szCs w:val="24"/>
        </w:rPr>
      </w:pPr>
      <w:r w:rsidRPr="003D1565">
        <w:rPr>
          <w:szCs w:val="24"/>
        </w:rPr>
        <w:t xml:space="preserve">получение в электронном и/или бумажном виде исходной информации об Объекте оценки, подготовленной в соответствии с настоящим </w:t>
      </w:r>
      <w:r>
        <w:rPr>
          <w:szCs w:val="24"/>
        </w:rPr>
        <w:t>З</w:t>
      </w:r>
      <w:r w:rsidRPr="003D1565">
        <w:rPr>
          <w:szCs w:val="24"/>
        </w:rPr>
        <w:t>аданием и ин</w:t>
      </w:r>
      <w:r w:rsidR="00515DAA">
        <w:rPr>
          <w:szCs w:val="24"/>
        </w:rPr>
        <w:t>формационным запросом оценщика;</w:t>
      </w:r>
    </w:p>
    <w:p w:rsidR="002117CD" w:rsidRDefault="002117CD" w:rsidP="002117CD">
      <w:pPr>
        <w:numPr>
          <w:ilvl w:val="0"/>
          <w:numId w:val="20"/>
        </w:numPr>
        <w:tabs>
          <w:tab w:val="left" w:pos="142"/>
        </w:tabs>
        <w:ind w:left="0" w:firstLine="709"/>
        <w:jc w:val="both"/>
        <w:rPr>
          <w:szCs w:val="24"/>
        </w:rPr>
      </w:pPr>
      <w:r w:rsidRPr="003D1565">
        <w:rPr>
          <w:szCs w:val="24"/>
        </w:rPr>
        <w:t>сбор и анализ исходных данных и информации, уточнение и получение дополнительных разъяснений, в том числе у балансодержателя имущества;</w:t>
      </w:r>
    </w:p>
    <w:p w:rsidR="00515DAA" w:rsidRPr="007561EE" w:rsidRDefault="00515DAA" w:rsidP="00515DAA">
      <w:pPr>
        <w:numPr>
          <w:ilvl w:val="0"/>
          <w:numId w:val="20"/>
        </w:numPr>
        <w:tabs>
          <w:tab w:val="left" w:pos="142"/>
        </w:tabs>
        <w:ind w:left="0" w:firstLine="709"/>
        <w:jc w:val="both"/>
        <w:rPr>
          <w:szCs w:val="24"/>
        </w:rPr>
      </w:pPr>
      <w:r w:rsidRPr="007561EE">
        <w:rPr>
          <w:szCs w:val="24"/>
        </w:rPr>
        <w:t>проведение проверки достоверности информации о финан</w:t>
      </w:r>
      <w:r w:rsidR="000C0C9D" w:rsidRPr="007561EE">
        <w:rPr>
          <w:szCs w:val="24"/>
        </w:rPr>
        <w:t>сово-хозяйственной деятельности Объекта оценки</w:t>
      </w:r>
      <w:r w:rsidRPr="007561EE">
        <w:rPr>
          <w:szCs w:val="24"/>
        </w:rPr>
        <w:t xml:space="preserve"> в соответствии с планом проверки, являющимся При</w:t>
      </w:r>
      <w:r w:rsidR="000C0C9D" w:rsidRPr="007561EE">
        <w:rPr>
          <w:szCs w:val="24"/>
        </w:rPr>
        <w:t>ложением №1 к Заданию на оценку;</w:t>
      </w:r>
    </w:p>
    <w:p w:rsidR="000C0C9D" w:rsidRPr="007561EE" w:rsidRDefault="000C0C9D" w:rsidP="00515DAA">
      <w:pPr>
        <w:numPr>
          <w:ilvl w:val="0"/>
          <w:numId w:val="20"/>
        </w:numPr>
        <w:tabs>
          <w:tab w:val="left" w:pos="142"/>
        </w:tabs>
        <w:ind w:left="0" w:firstLine="709"/>
        <w:jc w:val="both"/>
        <w:rPr>
          <w:szCs w:val="24"/>
        </w:rPr>
      </w:pPr>
      <w:r w:rsidRPr="007561EE">
        <w:rPr>
          <w:szCs w:val="24"/>
        </w:rPr>
        <w:t>подготовка отчета о проверке достоверности информации о финансово-хозяйственной деятельности Объекта оценки;</w:t>
      </w:r>
    </w:p>
    <w:p w:rsidR="002117CD" w:rsidRPr="003D1565" w:rsidRDefault="002117CD" w:rsidP="002117CD">
      <w:pPr>
        <w:numPr>
          <w:ilvl w:val="0"/>
          <w:numId w:val="20"/>
        </w:numPr>
        <w:tabs>
          <w:tab w:val="left" w:pos="142"/>
        </w:tabs>
        <w:ind w:left="0" w:firstLine="709"/>
        <w:jc w:val="both"/>
        <w:rPr>
          <w:szCs w:val="24"/>
        </w:rPr>
      </w:pPr>
      <w:r w:rsidRPr="003D1565">
        <w:rPr>
          <w:szCs w:val="24"/>
        </w:rPr>
        <w:t>подготовка проекта Отчета об оценке;</w:t>
      </w:r>
    </w:p>
    <w:p w:rsidR="002117CD" w:rsidRPr="003D1565" w:rsidRDefault="002117CD" w:rsidP="002117CD">
      <w:pPr>
        <w:numPr>
          <w:ilvl w:val="0"/>
          <w:numId w:val="20"/>
        </w:numPr>
        <w:tabs>
          <w:tab w:val="left" w:pos="142"/>
        </w:tabs>
        <w:ind w:left="0" w:firstLine="709"/>
        <w:jc w:val="both"/>
        <w:rPr>
          <w:szCs w:val="24"/>
        </w:rPr>
      </w:pPr>
      <w:r w:rsidRPr="003D1565">
        <w:rPr>
          <w:szCs w:val="24"/>
        </w:rPr>
        <w:t>передача проект</w:t>
      </w:r>
      <w:r w:rsidR="00587BCC">
        <w:rPr>
          <w:szCs w:val="24"/>
        </w:rPr>
        <w:t xml:space="preserve">а Отчета об оценке в ПАО «МРСК </w:t>
      </w:r>
      <w:r w:rsidR="008D0169">
        <w:rPr>
          <w:szCs w:val="24"/>
        </w:rPr>
        <w:t>Центра»</w:t>
      </w:r>
      <w:r w:rsidR="00515DAA">
        <w:rPr>
          <w:szCs w:val="24"/>
        </w:rPr>
        <w:t>;</w:t>
      </w:r>
    </w:p>
    <w:p w:rsidR="002117CD" w:rsidRPr="003D1565" w:rsidRDefault="002117CD" w:rsidP="002117CD">
      <w:pPr>
        <w:numPr>
          <w:ilvl w:val="0"/>
          <w:numId w:val="20"/>
        </w:numPr>
        <w:tabs>
          <w:tab w:val="left" w:pos="142"/>
        </w:tabs>
        <w:ind w:left="0" w:firstLine="709"/>
        <w:jc w:val="both"/>
        <w:rPr>
          <w:szCs w:val="24"/>
        </w:rPr>
      </w:pPr>
      <w:r w:rsidRPr="003D1565">
        <w:rPr>
          <w:szCs w:val="24"/>
        </w:rPr>
        <w:t>подготовка Отчета об оценке;</w:t>
      </w:r>
    </w:p>
    <w:p w:rsidR="002117CD" w:rsidRPr="003D1565" w:rsidRDefault="002117CD" w:rsidP="002117CD">
      <w:pPr>
        <w:numPr>
          <w:ilvl w:val="0"/>
          <w:numId w:val="20"/>
        </w:numPr>
        <w:tabs>
          <w:tab w:val="left" w:pos="142"/>
        </w:tabs>
        <w:ind w:left="0" w:firstLine="709"/>
        <w:jc w:val="both"/>
        <w:rPr>
          <w:szCs w:val="24"/>
        </w:rPr>
      </w:pPr>
      <w:r w:rsidRPr="003D1565">
        <w:rPr>
          <w:szCs w:val="24"/>
        </w:rPr>
        <w:t xml:space="preserve">передача Отчета об оценке </w:t>
      </w:r>
      <w:r w:rsidR="000C0C9D">
        <w:rPr>
          <w:szCs w:val="24"/>
        </w:rPr>
        <w:t xml:space="preserve">и </w:t>
      </w:r>
      <w:r w:rsidR="000C0C9D" w:rsidRPr="007561EE">
        <w:rPr>
          <w:szCs w:val="24"/>
        </w:rPr>
        <w:t>отчета о проверке достоверности информации о финансово-хозяйственной деятельности Объекта оценки</w:t>
      </w:r>
      <w:r w:rsidR="000C0C9D" w:rsidRPr="003D1565">
        <w:rPr>
          <w:szCs w:val="24"/>
        </w:rPr>
        <w:t xml:space="preserve"> </w:t>
      </w:r>
      <w:r w:rsidRPr="003D1565">
        <w:rPr>
          <w:szCs w:val="24"/>
        </w:rPr>
        <w:t>в ПАО «МРСК</w:t>
      </w:r>
      <w:r w:rsidR="008D0169">
        <w:rPr>
          <w:szCs w:val="24"/>
        </w:rPr>
        <w:t xml:space="preserve"> Центра</w:t>
      </w:r>
      <w:r w:rsidRPr="003D1565">
        <w:rPr>
          <w:szCs w:val="24"/>
        </w:rPr>
        <w:t>»;</w:t>
      </w:r>
    </w:p>
    <w:p w:rsidR="002117CD" w:rsidRPr="003D1565" w:rsidRDefault="002117CD" w:rsidP="002117CD">
      <w:pPr>
        <w:numPr>
          <w:ilvl w:val="0"/>
          <w:numId w:val="20"/>
        </w:numPr>
        <w:tabs>
          <w:tab w:val="left" w:pos="142"/>
        </w:tabs>
        <w:ind w:left="0" w:firstLine="709"/>
        <w:jc w:val="both"/>
        <w:rPr>
          <w:szCs w:val="24"/>
        </w:rPr>
      </w:pPr>
      <w:r w:rsidRPr="003D1565">
        <w:rPr>
          <w:szCs w:val="24"/>
        </w:rPr>
        <w:t>подготовка презентации с основными фактами и выводами Отчета об оценке в электронном виде (только в случае необходимости, по отдельному письменному запросу Заказчика);</w:t>
      </w:r>
    </w:p>
    <w:p w:rsidR="002117CD" w:rsidRPr="003D1565" w:rsidRDefault="002117CD" w:rsidP="002117CD">
      <w:pPr>
        <w:numPr>
          <w:ilvl w:val="0"/>
          <w:numId w:val="20"/>
        </w:numPr>
        <w:tabs>
          <w:tab w:val="left" w:pos="142"/>
        </w:tabs>
        <w:ind w:left="0" w:firstLine="709"/>
        <w:jc w:val="both"/>
        <w:rPr>
          <w:szCs w:val="24"/>
        </w:rPr>
      </w:pPr>
      <w:r w:rsidRPr="003D1565">
        <w:rPr>
          <w:szCs w:val="24"/>
        </w:rPr>
        <w:t>защита результатов оценки в ПАО «МРСК</w:t>
      </w:r>
      <w:r w:rsidR="008D0169">
        <w:rPr>
          <w:szCs w:val="24"/>
        </w:rPr>
        <w:t xml:space="preserve"> Центра</w:t>
      </w:r>
      <w:r w:rsidRPr="003D1565">
        <w:rPr>
          <w:szCs w:val="24"/>
        </w:rPr>
        <w:t>» и ПАО «</w:t>
      </w:r>
      <w:proofErr w:type="spellStart"/>
      <w:r w:rsidRPr="003D1565">
        <w:rPr>
          <w:szCs w:val="24"/>
        </w:rPr>
        <w:t>Россети</w:t>
      </w:r>
      <w:proofErr w:type="spellEnd"/>
      <w:r w:rsidRPr="003D1565">
        <w:rPr>
          <w:szCs w:val="24"/>
        </w:rPr>
        <w:t>».</w:t>
      </w:r>
    </w:p>
    <w:p w:rsidR="002117CD" w:rsidRPr="003D1565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Требования к оказываемым услугам по оценке:</w:t>
      </w:r>
    </w:p>
    <w:p w:rsidR="002117CD" w:rsidRPr="003D1565" w:rsidRDefault="002117CD" w:rsidP="002117CD">
      <w:pPr>
        <w:numPr>
          <w:ilvl w:val="0"/>
          <w:numId w:val="1"/>
        </w:numPr>
        <w:ind w:left="0" w:firstLine="709"/>
        <w:jc w:val="both"/>
        <w:rPr>
          <w:szCs w:val="24"/>
        </w:rPr>
      </w:pPr>
      <w:r w:rsidRPr="003D1565">
        <w:rPr>
          <w:szCs w:val="24"/>
        </w:rPr>
        <w:t xml:space="preserve">Обязательство оценщика самостоятельно собрать всю необходимую информацию для проведения оценочных работ. </w:t>
      </w:r>
    </w:p>
    <w:p w:rsidR="002117CD" w:rsidRPr="003D1565" w:rsidRDefault="002117CD" w:rsidP="002117CD">
      <w:pPr>
        <w:numPr>
          <w:ilvl w:val="0"/>
          <w:numId w:val="1"/>
        </w:numPr>
        <w:ind w:left="0" w:firstLine="709"/>
        <w:jc w:val="both"/>
        <w:rPr>
          <w:szCs w:val="24"/>
        </w:rPr>
      </w:pPr>
      <w:r w:rsidRPr="003D1565">
        <w:rPr>
          <w:szCs w:val="24"/>
        </w:rPr>
        <w:t xml:space="preserve">Обязательство оценщика соблюдать </w:t>
      </w:r>
      <w:proofErr w:type="gramStart"/>
      <w:r w:rsidRPr="003D1565">
        <w:rPr>
          <w:szCs w:val="24"/>
        </w:rPr>
        <w:t>сроки и условия</w:t>
      </w:r>
      <w:proofErr w:type="gramEnd"/>
      <w:r w:rsidRPr="003D1565">
        <w:rPr>
          <w:szCs w:val="24"/>
        </w:rPr>
        <w:t xml:space="preserve"> оговоренные Договором и настоящим </w:t>
      </w:r>
      <w:r>
        <w:rPr>
          <w:szCs w:val="24"/>
        </w:rPr>
        <w:t>З</w:t>
      </w:r>
      <w:r w:rsidRPr="003D1565">
        <w:rPr>
          <w:szCs w:val="24"/>
        </w:rPr>
        <w:t>аданием.</w:t>
      </w:r>
    </w:p>
    <w:p w:rsidR="002117CD" w:rsidRPr="003D1565" w:rsidRDefault="002117CD" w:rsidP="002117CD">
      <w:pPr>
        <w:numPr>
          <w:ilvl w:val="0"/>
          <w:numId w:val="1"/>
        </w:numPr>
        <w:ind w:left="0" w:firstLine="709"/>
        <w:jc w:val="both"/>
        <w:rPr>
          <w:szCs w:val="24"/>
        </w:rPr>
      </w:pPr>
      <w:r w:rsidRPr="003D1565">
        <w:rPr>
          <w:szCs w:val="24"/>
        </w:rPr>
        <w:t>Обязательство оценщика осуществить оценочные работы с выездом на фактическое местонахождение с проведением личной инспекции имущества оцениваемого предприятия.</w:t>
      </w:r>
    </w:p>
    <w:p w:rsidR="00870BA5" w:rsidRPr="00106B7F" w:rsidRDefault="002117CD" w:rsidP="002117CD">
      <w:pPr>
        <w:numPr>
          <w:ilvl w:val="0"/>
          <w:numId w:val="1"/>
        </w:numPr>
        <w:ind w:left="0" w:firstLine="709"/>
        <w:jc w:val="both"/>
        <w:rPr>
          <w:szCs w:val="24"/>
        </w:rPr>
      </w:pPr>
      <w:r w:rsidRPr="00106B7F">
        <w:rPr>
          <w:szCs w:val="24"/>
        </w:rPr>
        <w:t xml:space="preserve">Обязательство оценщика </w:t>
      </w:r>
      <w:r w:rsidR="00870BA5" w:rsidRPr="00106B7F">
        <w:rPr>
          <w:szCs w:val="24"/>
        </w:rPr>
        <w:t>использования двух подходов оценки: доходного и затратного (с проведением тестирования на экономическое обесценение), кроме того, в отчете должны быть учтены данные и выводы, содержащиеся:</w:t>
      </w:r>
    </w:p>
    <w:p w:rsidR="00870BA5" w:rsidRPr="00106B7F" w:rsidRDefault="00870BA5" w:rsidP="00870BA5">
      <w:pPr>
        <w:jc w:val="both"/>
        <w:rPr>
          <w:szCs w:val="24"/>
        </w:rPr>
      </w:pPr>
      <w:r w:rsidRPr="00106B7F">
        <w:rPr>
          <w:szCs w:val="24"/>
        </w:rPr>
        <w:t xml:space="preserve">- в расчете для определения полной восстановительной стоимости объекта, </w:t>
      </w:r>
    </w:p>
    <w:p w:rsidR="00870BA5" w:rsidRPr="00106B7F" w:rsidRDefault="00870BA5" w:rsidP="00870BA5">
      <w:pPr>
        <w:jc w:val="both"/>
        <w:rPr>
          <w:szCs w:val="24"/>
        </w:rPr>
      </w:pPr>
      <w:r w:rsidRPr="00106B7F">
        <w:rPr>
          <w:szCs w:val="24"/>
        </w:rPr>
        <w:t xml:space="preserve">- в справке об уровне нормативных и сверхнормативных потерь и затратах на снижение потерь, </w:t>
      </w:r>
    </w:p>
    <w:p w:rsidR="00870BA5" w:rsidRPr="00106B7F" w:rsidRDefault="00870BA5" w:rsidP="00870BA5">
      <w:pPr>
        <w:jc w:val="both"/>
        <w:rPr>
          <w:szCs w:val="24"/>
        </w:rPr>
      </w:pPr>
      <w:r w:rsidRPr="00106B7F">
        <w:rPr>
          <w:szCs w:val="24"/>
        </w:rPr>
        <w:t xml:space="preserve">- в справке об уровне текущей загрузки и перспективах развития, включая анализ договоров ТП, </w:t>
      </w:r>
    </w:p>
    <w:p w:rsidR="00870BA5" w:rsidRPr="00106B7F" w:rsidRDefault="00870BA5" w:rsidP="00870BA5">
      <w:pPr>
        <w:jc w:val="both"/>
        <w:rPr>
          <w:szCs w:val="24"/>
        </w:rPr>
      </w:pPr>
      <w:r w:rsidRPr="00106B7F">
        <w:rPr>
          <w:szCs w:val="24"/>
        </w:rPr>
        <w:t xml:space="preserve">- в расчете составляющих необходимой валовой выручки, </w:t>
      </w:r>
    </w:p>
    <w:p w:rsidR="00870BA5" w:rsidRPr="00106B7F" w:rsidRDefault="00870BA5" w:rsidP="00870BA5">
      <w:pPr>
        <w:jc w:val="both"/>
        <w:rPr>
          <w:szCs w:val="24"/>
        </w:rPr>
      </w:pPr>
      <w:r w:rsidRPr="00106B7F">
        <w:rPr>
          <w:szCs w:val="24"/>
        </w:rPr>
        <w:t xml:space="preserve">- в информации об инвестиционных обязательствах, предусмотренных ИПР ТСО, </w:t>
      </w:r>
    </w:p>
    <w:p w:rsidR="002117CD" w:rsidRPr="003D1565" w:rsidRDefault="00870BA5" w:rsidP="00870BA5">
      <w:pPr>
        <w:jc w:val="both"/>
        <w:rPr>
          <w:szCs w:val="24"/>
        </w:rPr>
      </w:pPr>
      <w:r w:rsidRPr="00106B7F">
        <w:rPr>
          <w:szCs w:val="24"/>
        </w:rPr>
        <w:t>- в справке об индексе технического состояния имущества (физическом износе)</w:t>
      </w:r>
      <w:r w:rsidR="002117CD" w:rsidRPr="00106B7F">
        <w:rPr>
          <w:szCs w:val="24"/>
        </w:rPr>
        <w:t>.</w:t>
      </w:r>
    </w:p>
    <w:p w:rsidR="002117CD" w:rsidRPr="007561EE" w:rsidRDefault="002117CD" w:rsidP="002117CD">
      <w:pPr>
        <w:numPr>
          <w:ilvl w:val="0"/>
          <w:numId w:val="1"/>
        </w:numPr>
        <w:ind w:left="0" w:firstLine="709"/>
        <w:jc w:val="both"/>
        <w:rPr>
          <w:szCs w:val="24"/>
        </w:rPr>
      </w:pPr>
      <w:r w:rsidRPr="007561EE">
        <w:rPr>
          <w:szCs w:val="24"/>
        </w:rPr>
        <w:t xml:space="preserve">Обязательство оценщика при проведении оценки учитывать результаты и выводы </w:t>
      </w:r>
      <w:r w:rsidR="00E96A39" w:rsidRPr="007561EE">
        <w:rPr>
          <w:szCs w:val="24"/>
        </w:rPr>
        <w:t xml:space="preserve">проверки достоверности информации о финансово-хозяйственной </w:t>
      </w:r>
      <w:proofErr w:type="gramStart"/>
      <w:r w:rsidR="00E96A39" w:rsidRPr="007561EE">
        <w:rPr>
          <w:szCs w:val="24"/>
        </w:rPr>
        <w:t>деятельности  Объекта</w:t>
      </w:r>
      <w:proofErr w:type="gramEnd"/>
      <w:r w:rsidR="00E96A39" w:rsidRPr="007561EE">
        <w:rPr>
          <w:szCs w:val="24"/>
        </w:rPr>
        <w:t xml:space="preserve"> оценки</w:t>
      </w:r>
      <w:r w:rsidRPr="007561EE">
        <w:rPr>
          <w:i/>
          <w:szCs w:val="24"/>
        </w:rPr>
        <w:t>.</w:t>
      </w:r>
    </w:p>
    <w:p w:rsidR="002117CD" w:rsidRPr="003D1565" w:rsidRDefault="002117CD" w:rsidP="002117CD">
      <w:pPr>
        <w:numPr>
          <w:ilvl w:val="0"/>
          <w:numId w:val="1"/>
        </w:numPr>
        <w:ind w:left="0" w:firstLine="709"/>
        <w:jc w:val="both"/>
        <w:rPr>
          <w:szCs w:val="24"/>
        </w:rPr>
      </w:pPr>
      <w:r w:rsidRPr="003D1565">
        <w:rPr>
          <w:szCs w:val="24"/>
        </w:rPr>
        <w:t>Обязательство оценщика сотрудничать с Заказчиком и ПАО «</w:t>
      </w:r>
      <w:proofErr w:type="spellStart"/>
      <w:r w:rsidRPr="003D1565">
        <w:rPr>
          <w:szCs w:val="24"/>
        </w:rPr>
        <w:t>Россети</w:t>
      </w:r>
      <w:proofErr w:type="spellEnd"/>
      <w:r w:rsidRPr="003D1565">
        <w:rPr>
          <w:szCs w:val="24"/>
        </w:rPr>
        <w:t>» в процессе рассмотрения Отчета об оценке в целях защиты результатов оценки.</w:t>
      </w:r>
    </w:p>
    <w:p w:rsidR="002117CD" w:rsidRPr="003D1565" w:rsidRDefault="002117CD" w:rsidP="002117CD">
      <w:pPr>
        <w:numPr>
          <w:ilvl w:val="0"/>
          <w:numId w:val="1"/>
        </w:numPr>
        <w:ind w:left="0" w:firstLine="709"/>
        <w:jc w:val="both"/>
        <w:rPr>
          <w:szCs w:val="24"/>
        </w:rPr>
      </w:pPr>
      <w:r w:rsidRPr="003D1565">
        <w:rPr>
          <w:szCs w:val="24"/>
        </w:rPr>
        <w:t>Обязательство оценщика при наличии у Заказчика или у ПАО «</w:t>
      </w:r>
      <w:proofErr w:type="spellStart"/>
      <w:r w:rsidRPr="003D1565">
        <w:rPr>
          <w:szCs w:val="24"/>
        </w:rPr>
        <w:t>Россети</w:t>
      </w:r>
      <w:proofErr w:type="spellEnd"/>
      <w:r w:rsidRPr="003D1565">
        <w:rPr>
          <w:szCs w:val="24"/>
        </w:rPr>
        <w:t>» письменных мотивированных замечаний к проекту Отчета об оценке исправить в течение 3 (трех) календарных дней выявленные недостатки и предоставить Заказчику новую редакцию Отчета. Доработки по мотивированным замечаниям производятся оценщиком за свой счет, если они не выходят за пределы содержания и объема выполняемых услуг.</w:t>
      </w:r>
    </w:p>
    <w:p w:rsidR="002117CD" w:rsidRDefault="002117CD" w:rsidP="002117CD">
      <w:pPr>
        <w:numPr>
          <w:ilvl w:val="0"/>
          <w:numId w:val="1"/>
        </w:numPr>
        <w:ind w:left="0" w:firstLine="709"/>
        <w:jc w:val="both"/>
        <w:rPr>
          <w:szCs w:val="24"/>
        </w:rPr>
      </w:pPr>
      <w:r w:rsidRPr="003D1565">
        <w:rPr>
          <w:szCs w:val="24"/>
        </w:rPr>
        <w:t xml:space="preserve">Обязательство оценщика без дополнительной оплаты актуализировать дату составления Отчета об оценке по письменному запросу Заказчика в течение 1 (одного) рабочего дня </w:t>
      </w:r>
      <w:proofErr w:type="gramStart"/>
      <w:r w:rsidRPr="003D1565">
        <w:rPr>
          <w:szCs w:val="24"/>
        </w:rPr>
        <w:t>и  предоставить</w:t>
      </w:r>
      <w:proofErr w:type="gramEnd"/>
      <w:r w:rsidRPr="003D1565">
        <w:rPr>
          <w:szCs w:val="24"/>
        </w:rPr>
        <w:t xml:space="preserve"> оригинал Отчета Заказчику.</w:t>
      </w:r>
    </w:p>
    <w:p w:rsidR="00870BA5" w:rsidRPr="00106B7F" w:rsidRDefault="00870BA5" w:rsidP="002117CD">
      <w:pPr>
        <w:numPr>
          <w:ilvl w:val="0"/>
          <w:numId w:val="1"/>
        </w:numPr>
        <w:ind w:left="0" w:firstLine="709"/>
        <w:jc w:val="both"/>
        <w:rPr>
          <w:szCs w:val="24"/>
        </w:rPr>
      </w:pPr>
      <w:r w:rsidRPr="00106B7F">
        <w:rPr>
          <w:szCs w:val="24"/>
        </w:rPr>
        <w:t>В случае выявления критических и/или существенных замечаний к отчету об оценке рыночной стоимости (расхождение в стоимости объекта на 50% и более, либо нарушение Федеральных стандартов оценки), при проведении экспертизы в ПАО «</w:t>
      </w:r>
      <w:proofErr w:type="spellStart"/>
      <w:r w:rsidRPr="00106B7F">
        <w:rPr>
          <w:szCs w:val="24"/>
        </w:rPr>
        <w:t>Россети</w:t>
      </w:r>
      <w:proofErr w:type="spellEnd"/>
      <w:r w:rsidRPr="00106B7F">
        <w:rPr>
          <w:szCs w:val="24"/>
        </w:rPr>
        <w:t>», Заказчик имеет право расторгнуть без произведения оплаты договор с оценочной организацией, подготовившей такой отчет.</w:t>
      </w:r>
    </w:p>
    <w:p w:rsidR="002117CD" w:rsidRPr="003D1565" w:rsidRDefault="002117CD" w:rsidP="002117CD">
      <w:pPr>
        <w:numPr>
          <w:ilvl w:val="0"/>
          <w:numId w:val="1"/>
        </w:numPr>
        <w:ind w:left="0" w:firstLine="709"/>
        <w:jc w:val="both"/>
        <w:rPr>
          <w:szCs w:val="24"/>
        </w:rPr>
      </w:pPr>
      <w:r w:rsidRPr="003D1565">
        <w:rPr>
          <w:szCs w:val="24"/>
        </w:rPr>
        <w:t>В случае получения отрицательного экспертного заключения на Отчет об оценке со стороны СРО, оценщик обязуется самостоятельно взаимодействовать с СРО и за свой счет провести мероприятия по доработке Отчета об оценке с целью получения положительного экспертного заключения СРО.</w:t>
      </w:r>
    </w:p>
    <w:p w:rsidR="002117CD" w:rsidRPr="003D1565" w:rsidRDefault="002117CD" w:rsidP="002117CD">
      <w:pPr>
        <w:ind w:left="709"/>
        <w:jc w:val="both"/>
        <w:rPr>
          <w:szCs w:val="24"/>
        </w:rPr>
      </w:pPr>
    </w:p>
    <w:p w:rsidR="002117CD" w:rsidRPr="003D1565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Результаты услуг:</w:t>
      </w:r>
    </w:p>
    <w:p w:rsidR="002117CD" w:rsidRPr="003D1565" w:rsidRDefault="002117CD" w:rsidP="002117CD">
      <w:pPr>
        <w:tabs>
          <w:tab w:val="num" w:pos="1134"/>
        </w:tabs>
        <w:ind w:firstLine="720"/>
        <w:rPr>
          <w:szCs w:val="24"/>
        </w:rPr>
      </w:pPr>
      <w:r w:rsidRPr="003D1565">
        <w:rPr>
          <w:szCs w:val="24"/>
        </w:rPr>
        <w:t>Результатом услуг являются следующие материалы:</w:t>
      </w:r>
    </w:p>
    <w:p w:rsidR="002117CD" w:rsidRPr="003D1565" w:rsidRDefault="002117CD" w:rsidP="002117CD">
      <w:pPr>
        <w:ind w:firstLine="720"/>
        <w:jc w:val="both"/>
        <w:rPr>
          <w:szCs w:val="24"/>
        </w:rPr>
      </w:pPr>
      <w:r w:rsidRPr="003D1565">
        <w:rPr>
          <w:szCs w:val="24"/>
        </w:rPr>
        <w:t>- Отчет об оценке, предоставленный в 3 (трех) подписанных экземплярах на бумажном носителе, а также полная версия Отчета об оценке в электронном виде, включая все приложения и тома к нему, с приложением сканированных листов с печатями.</w:t>
      </w:r>
    </w:p>
    <w:p w:rsidR="002117CD" w:rsidRPr="003D1565" w:rsidRDefault="002117CD" w:rsidP="002117CD">
      <w:pPr>
        <w:ind w:firstLine="720"/>
        <w:jc w:val="both"/>
        <w:rPr>
          <w:szCs w:val="24"/>
        </w:rPr>
      </w:pPr>
      <w:r w:rsidRPr="003D1565">
        <w:rPr>
          <w:szCs w:val="24"/>
        </w:rPr>
        <w:t xml:space="preserve">- Сопроводительные материалы в виде моделей, представляющих собой расчетные файлы в электронном формате </w:t>
      </w:r>
      <w:proofErr w:type="spellStart"/>
      <w:r w:rsidRPr="003D1565">
        <w:rPr>
          <w:szCs w:val="24"/>
        </w:rPr>
        <w:t>Microsoft</w:t>
      </w:r>
      <w:proofErr w:type="spellEnd"/>
      <w:r w:rsidRPr="003D1565">
        <w:rPr>
          <w:szCs w:val="24"/>
        </w:rPr>
        <w:t xml:space="preserve"> </w:t>
      </w:r>
      <w:proofErr w:type="spellStart"/>
      <w:r w:rsidRPr="003D1565">
        <w:rPr>
          <w:szCs w:val="24"/>
        </w:rPr>
        <w:t>Excel</w:t>
      </w:r>
      <w:proofErr w:type="spellEnd"/>
      <w:r w:rsidRPr="003D1565">
        <w:rPr>
          <w:szCs w:val="24"/>
        </w:rPr>
        <w:t xml:space="preserve"> с действующими для просмотра связями между формулами и расчетами, позволяющими проверить достоверность расчетов и выводов оценки.</w:t>
      </w:r>
    </w:p>
    <w:p w:rsidR="002117CD" w:rsidRDefault="002117CD" w:rsidP="002117CD">
      <w:pPr>
        <w:ind w:firstLine="720"/>
        <w:jc w:val="both"/>
        <w:rPr>
          <w:szCs w:val="24"/>
        </w:rPr>
      </w:pPr>
      <w:r w:rsidRPr="003D1565">
        <w:rPr>
          <w:szCs w:val="24"/>
        </w:rPr>
        <w:t>- Презентация с основными фактами и выводами Отчета об оценке в электронном виде (представляется только в случае необходимости, по отдельному письменному запросу Заказчика).</w:t>
      </w:r>
    </w:p>
    <w:p w:rsidR="00E96A39" w:rsidRPr="007561EE" w:rsidRDefault="00E96A39" w:rsidP="00E96A39">
      <w:pPr>
        <w:ind w:firstLine="720"/>
        <w:jc w:val="both"/>
        <w:rPr>
          <w:rFonts w:eastAsia="Calibri"/>
          <w:color w:val="000000"/>
          <w:szCs w:val="24"/>
          <w:lang w:eastAsia="en-US"/>
        </w:rPr>
      </w:pPr>
      <w:r w:rsidRPr="007561EE">
        <w:rPr>
          <w:szCs w:val="24"/>
        </w:rPr>
        <w:t>-   </w:t>
      </w:r>
      <w:r w:rsidR="00515DAA" w:rsidRPr="007561EE">
        <w:rPr>
          <w:szCs w:val="24"/>
        </w:rPr>
        <w:t xml:space="preserve">Отчет </w:t>
      </w:r>
      <w:r w:rsidRPr="007561EE">
        <w:rPr>
          <w:szCs w:val="24"/>
        </w:rPr>
        <w:t xml:space="preserve">о проведении проверки достоверности информации о финансово-хозяйственной </w:t>
      </w:r>
      <w:proofErr w:type="gramStart"/>
      <w:r w:rsidRPr="007561EE">
        <w:rPr>
          <w:szCs w:val="24"/>
        </w:rPr>
        <w:t>деятельности  объекта</w:t>
      </w:r>
      <w:proofErr w:type="gramEnd"/>
      <w:r w:rsidRPr="007561EE">
        <w:rPr>
          <w:szCs w:val="24"/>
        </w:rPr>
        <w:t xml:space="preserve"> оценки</w:t>
      </w:r>
      <w:r w:rsidR="00515DAA" w:rsidRPr="007561EE">
        <w:rPr>
          <w:szCs w:val="24"/>
        </w:rPr>
        <w:t>, составленный на русском языке, представленный в 3 (трех) подписанных экземплярах на бумажном носителе, а также полная версия Отчета в электронном виде, включая все приложения и тома к нему, с приложением сканированных листов с печатями.</w:t>
      </w:r>
      <w:r w:rsidRPr="007561EE">
        <w:rPr>
          <w:szCs w:val="24"/>
        </w:rPr>
        <w:t xml:space="preserve"> Отчет помимо </w:t>
      </w:r>
      <w:r w:rsidRPr="007561EE">
        <w:rPr>
          <w:rFonts w:eastAsia="Calibri"/>
          <w:color w:val="000000"/>
          <w:szCs w:val="24"/>
          <w:lang w:eastAsia="en-US"/>
        </w:rPr>
        <w:t xml:space="preserve">информации, полученной при проведении процедур, должен содержать в себе следующие краткие выводы: </w:t>
      </w:r>
    </w:p>
    <w:p w:rsidR="00515DAA" w:rsidRPr="007561EE" w:rsidRDefault="00515DAA" w:rsidP="00515DAA">
      <w:pPr>
        <w:numPr>
          <w:ilvl w:val="0"/>
          <w:numId w:val="2"/>
        </w:numPr>
        <w:ind w:left="0" w:firstLine="709"/>
        <w:jc w:val="both"/>
        <w:rPr>
          <w:szCs w:val="24"/>
        </w:rPr>
      </w:pPr>
      <w:r w:rsidRPr="007561EE">
        <w:rPr>
          <w:szCs w:val="24"/>
        </w:rPr>
        <w:t>выявленные тенденции и факты, которые негативным образом влияют на свободный денежный поток предприятия в текущем и будущих периодах;</w:t>
      </w:r>
    </w:p>
    <w:p w:rsidR="00515DAA" w:rsidRPr="007561EE" w:rsidRDefault="00515DAA" w:rsidP="00515DAA">
      <w:pPr>
        <w:numPr>
          <w:ilvl w:val="0"/>
          <w:numId w:val="2"/>
        </w:numPr>
        <w:ind w:left="0" w:firstLine="709"/>
        <w:jc w:val="both"/>
        <w:rPr>
          <w:szCs w:val="24"/>
        </w:rPr>
      </w:pPr>
      <w:r w:rsidRPr="007561EE">
        <w:rPr>
          <w:szCs w:val="24"/>
        </w:rPr>
        <w:t>выявленные риски, которые несет в себе деятельность Компании, и реализация которых может негативно повлиять на величину свободного денежного потока Компании с оценкой материальности данных рисков.</w:t>
      </w:r>
    </w:p>
    <w:p w:rsidR="002117CD" w:rsidRPr="003D1565" w:rsidRDefault="00E96A39" w:rsidP="002117CD">
      <w:pPr>
        <w:numPr>
          <w:ilvl w:val="0"/>
          <w:numId w:val="3"/>
        </w:numPr>
        <w:spacing w:before="240" w:after="240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>ВТОРОЙ</w:t>
      </w:r>
      <w:r w:rsidR="002117CD" w:rsidRPr="003D1565">
        <w:rPr>
          <w:b/>
          <w:szCs w:val="24"/>
        </w:rPr>
        <w:t xml:space="preserve"> ЭТАП</w:t>
      </w:r>
    </w:p>
    <w:p w:rsidR="002117CD" w:rsidRPr="003D1565" w:rsidRDefault="002117CD" w:rsidP="002117CD">
      <w:pPr>
        <w:spacing w:before="120" w:after="120"/>
        <w:jc w:val="center"/>
        <w:rPr>
          <w:b/>
          <w:szCs w:val="24"/>
        </w:rPr>
      </w:pPr>
      <w:r w:rsidRPr="003D1565">
        <w:rPr>
          <w:b/>
          <w:szCs w:val="24"/>
        </w:rPr>
        <w:t>сопровождение экспертизы саморегулируемой организации оценщиков Отчета об оценке, подготовленного оценщиком и предоставление положительного экспертного заключения</w:t>
      </w:r>
    </w:p>
    <w:p w:rsidR="002117CD" w:rsidRDefault="00E96A39" w:rsidP="002117CD">
      <w:pPr>
        <w:ind w:firstLine="709"/>
        <w:jc w:val="both"/>
        <w:rPr>
          <w:szCs w:val="24"/>
        </w:rPr>
      </w:pPr>
      <w:r>
        <w:rPr>
          <w:szCs w:val="24"/>
        </w:rPr>
        <w:t>Второй</w:t>
      </w:r>
      <w:r w:rsidR="002117CD" w:rsidRPr="003D1565">
        <w:rPr>
          <w:szCs w:val="24"/>
        </w:rPr>
        <w:t xml:space="preserve"> этап проводится при необходимости по официальному письменному запросу Заказчика, но не позднее 2 (двух) лет с момента заключени</w:t>
      </w:r>
      <w:r>
        <w:rPr>
          <w:szCs w:val="24"/>
        </w:rPr>
        <w:t>я Договора. Второй</w:t>
      </w:r>
      <w:r w:rsidR="002117CD" w:rsidRPr="003D1565">
        <w:rPr>
          <w:szCs w:val="24"/>
        </w:rPr>
        <w:t xml:space="preserve"> этап представляет собой сопровождение экспертизы саморегулируемой организации оценщиков (далее – СРО) Отчета об оценке, подготовленного оценщиком и предоставление положительного экспертного заключения.</w:t>
      </w:r>
    </w:p>
    <w:p w:rsidR="002A5440" w:rsidRDefault="002A5440" w:rsidP="002117CD">
      <w:pPr>
        <w:ind w:firstLine="709"/>
        <w:jc w:val="both"/>
        <w:rPr>
          <w:szCs w:val="24"/>
        </w:rPr>
      </w:pPr>
    </w:p>
    <w:p w:rsidR="002A5440" w:rsidRDefault="002A5440" w:rsidP="002117CD">
      <w:pPr>
        <w:ind w:firstLine="709"/>
        <w:jc w:val="both"/>
        <w:rPr>
          <w:szCs w:val="24"/>
        </w:rPr>
      </w:pPr>
    </w:p>
    <w:p w:rsidR="002A5440" w:rsidRPr="003D1565" w:rsidRDefault="002A5440" w:rsidP="002117CD">
      <w:pPr>
        <w:ind w:firstLine="709"/>
        <w:jc w:val="both"/>
        <w:rPr>
          <w:szCs w:val="24"/>
        </w:rPr>
      </w:pPr>
    </w:p>
    <w:p w:rsidR="002117CD" w:rsidRPr="003D1565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Объект экспертизы:</w:t>
      </w:r>
    </w:p>
    <w:p w:rsidR="002117CD" w:rsidRPr="003D1565" w:rsidRDefault="002117CD" w:rsidP="002117CD">
      <w:pPr>
        <w:ind w:firstLine="709"/>
        <w:jc w:val="both"/>
        <w:rPr>
          <w:szCs w:val="24"/>
        </w:rPr>
      </w:pPr>
      <w:r w:rsidRPr="003D1565">
        <w:rPr>
          <w:szCs w:val="24"/>
        </w:rPr>
        <w:t>Отчет об оценке, подготовленный оценщиком (устанавливается в письменном запросе Заказчика).</w:t>
      </w:r>
    </w:p>
    <w:p w:rsidR="002117CD" w:rsidRPr="003D1565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Вид экспертизы:</w:t>
      </w:r>
    </w:p>
    <w:p w:rsidR="002117CD" w:rsidRPr="003D1565" w:rsidRDefault="002117CD" w:rsidP="002117CD">
      <w:pPr>
        <w:ind w:firstLine="709"/>
        <w:jc w:val="both"/>
        <w:rPr>
          <w:szCs w:val="24"/>
        </w:rPr>
      </w:pPr>
      <w:r w:rsidRPr="003D1565">
        <w:rPr>
          <w:szCs w:val="24"/>
        </w:rPr>
        <w:t xml:space="preserve">Экспертиза на подтверждение стоимости Объекта оценки, определенной оценщиком в Отчете об оценке, включающая также проверку Отчета на соответствие требованиям законодательства Российской Федерации об оценочной деятельности, в том числе требованиям Федерального закона, федеральных стандартов оценки и других актов уполномоченного федерального органа, осуществляющего функции по нормативно-правовому регулированию оценочной деятельности, и </w:t>
      </w:r>
      <w:proofErr w:type="gramStart"/>
      <w:r w:rsidRPr="003D1565">
        <w:rPr>
          <w:szCs w:val="24"/>
        </w:rPr>
        <w:t>стандартов</w:t>
      </w:r>
      <w:proofErr w:type="gramEnd"/>
      <w:r w:rsidRPr="003D1565">
        <w:rPr>
          <w:szCs w:val="24"/>
        </w:rPr>
        <w:t xml:space="preserve"> и правил оценочной деятельности.</w:t>
      </w:r>
    </w:p>
    <w:p w:rsidR="002117CD" w:rsidRPr="003D1565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Основные этапы оказания услуг по сопровождение экспертизы:</w:t>
      </w:r>
    </w:p>
    <w:p w:rsidR="002117CD" w:rsidRPr="003D1565" w:rsidRDefault="002117CD" w:rsidP="002117CD">
      <w:pPr>
        <w:tabs>
          <w:tab w:val="left" w:pos="142"/>
        </w:tabs>
        <w:ind w:firstLine="709"/>
        <w:jc w:val="both"/>
        <w:rPr>
          <w:szCs w:val="24"/>
        </w:rPr>
      </w:pPr>
      <w:r w:rsidRPr="003D1565">
        <w:rPr>
          <w:szCs w:val="24"/>
        </w:rPr>
        <w:t>-</w:t>
      </w:r>
      <w:r w:rsidRPr="003D1565">
        <w:rPr>
          <w:szCs w:val="24"/>
        </w:rPr>
        <w:tab/>
        <w:t>получение в электронном и/или бумажном виде запроса Заказчика на оказание усл</w:t>
      </w:r>
      <w:r w:rsidR="00E13D74">
        <w:rPr>
          <w:szCs w:val="24"/>
        </w:rPr>
        <w:t>уг по второму</w:t>
      </w:r>
      <w:r w:rsidRPr="003D1565">
        <w:rPr>
          <w:szCs w:val="24"/>
        </w:rPr>
        <w:t xml:space="preserve"> этапу;</w:t>
      </w:r>
    </w:p>
    <w:p w:rsidR="002117CD" w:rsidRPr="003D1565" w:rsidRDefault="002117CD" w:rsidP="002117CD">
      <w:pPr>
        <w:tabs>
          <w:tab w:val="left" w:pos="142"/>
        </w:tabs>
        <w:ind w:firstLine="709"/>
        <w:jc w:val="both"/>
        <w:rPr>
          <w:szCs w:val="24"/>
        </w:rPr>
      </w:pPr>
      <w:r w:rsidRPr="003D1565">
        <w:rPr>
          <w:szCs w:val="24"/>
        </w:rPr>
        <w:t>-</w:t>
      </w:r>
      <w:r w:rsidRPr="003D1565">
        <w:rPr>
          <w:szCs w:val="24"/>
        </w:rPr>
        <w:tab/>
        <w:t>заключение договора с СРО на оказание услуг по экспертизе Отчета об оценке, выполненного оценщиком,</w:t>
      </w:r>
    </w:p>
    <w:p w:rsidR="002117CD" w:rsidRPr="003D1565" w:rsidRDefault="002117CD" w:rsidP="002117CD">
      <w:pPr>
        <w:tabs>
          <w:tab w:val="left" w:pos="142"/>
        </w:tabs>
        <w:ind w:firstLine="709"/>
        <w:jc w:val="both"/>
        <w:rPr>
          <w:szCs w:val="24"/>
        </w:rPr>
      </w:pPr>
      <w:r w:rsidRPr="003D1565">
        <w:rPr>
          <w:szCs w:val="24"/>
        </w:rPr>
        <w:t>-</w:t>
      </w:r>
      <w:r w:rsidRPr="003D1565">
        <w:rPr>
          <w:szCs w:val="24"/>
        </w:rPr>
        <w:tab/>
        <w:t>сопровождение экспертизы СРО,</w:t>
      </w:r>
    </w:p>
    <w:p w:rsidR="002117CD" w:rsidRDefault="002117CD" w:rsidP="002117CD">
      <w:pPr>
        <w:tabs>
          <w:tab w:val="left" w:pos="142"/>
        </w:tabs>
        <w:ind w:firstLine="709"/>
        <w:jc w:val="both"/>
        <w:rPr>
          <w:szCs w:val="24"/>
        </w:rPr>
      </w:pPr>
      <w:r w:rsidRPr="003D1565">
        <w:rPr>
          <w:szCs w:val="24"/>
        </w:rPr>
        <w:t>-</w:t>
      </w:r>
      <w:r w:rsidRPr="003D1565">
        <w:rPr>
          <w:szCs w:val="24"/>
        </w:rPr>
        <w:tab/>
        <w:t>передача экспертного заключения в ПАО «МРСК</w:t>
      </w:r>
      <w:r w:rsidR="00304F57">
        <w:rPr>
          <w:szCs w:val="24"/>
        </w:rPr>
        <w:t xml:space="preserve"> </w:t>
      </w:r>
      <w:r w:rsidR="008D0169">
        <w:rPr>
          <w:szCs w:val="24"/>
        </w:rPr>
        <w:t>Центра</w:t>
      </w:r>
      <w:r w:rsidRPr="003D1565">
        <w:rPr>
          <w:szCs w:val="24"/>
        </w:rPr>
        <w:t>».</w:t>
      </w:r>
    </w:p>
    <w:p w:rsidR="008D0169" w:rsidRPr="003D1565" w:rsidRDefault="008D0169" w:rsidP="002117CD">
      <w:pPr>
        <w:tabs>
          <w:tab w:val="left" w:pos="142"/>
        </w:tabs>
        <w:ind w:firstLine="709"/>
        <w:jc w:val="both"/>
        <w:rPr>
          <w:szCs w:val="24"/>
        </w:rPr>
      </w:pPr>
    </w:p>
    <w:p w:rsidR="002117CD" w:rsidRPr="003D1565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Результаты услуг:</w:t>
      </w:r>
    </w:p>
    <w:p w:rsidR="002117CD" w:rsidRPr="003D1565" w:rsidRDefault="002117CD" w:rsidP="002117CD">
      <w:pPr>
        <w:ind w:firstLine="709"/>
        <w:jc w:val="both"/>
        <w:rPr>
          <w:szCs w:val="24"/>
        </w:rPr>
      </w:pPr>
      <w:r w:rsidRPr="003D1565">
        <w:rPr>
          <w:szCs w:val="24"/>
        </w:rPr>
        <w:t>-</w:t>
      </w:r>
      <w:r w:rsidRPr="003D1565">
        <w:rPr>
          <w:szCs w:val="24"/>
        </w:rPr>
        <w:tab/>
        <w:t>Экспертное заключение СРО на Отчет об оценке, выполненный оценщиком, предоставленное в 2 (двух) подписанных экземплярах на бумажном носителе, а также электронная версия подписанного Экспертного заключения, включая все приложения и тома к нему.</w:t>
      </w:r>
    </w:p>
    <w:p w:rsidR="002117CD" w:rsidRPr="003D1565" w:rsidRDefault="002117CD" w:rsidP="002117CD">
      <w:pPr>
        <w:ind w:firstLine="709"/>
        <w:jc w:val="both"/>
        <w:rPr>
          <w:szCs w:val="24"/>
        </w:rPr>
      </w:pPr>
    </w:p>
    <w:p w:rsidR="002117CD" w:rsidRPr="003D1565" w:rsidRDefault="002117CD" w:rsidP="002117CD">
      <w:pPr>
        <w:ind w:firstLine="709"/>
        <w:jc w:val="both"/>
        <w:rPr>
          <w:szCs w:val="24"/>
        </w:rPr>
      </w:pPr>
      <w:r w:rsidRPr="003D1565">
        <w:rPr>
          <w:i/>
          <w:szCs w:val="24"/>
        </w:rPr>
        <w:t>Заказчик вправе принять одностороннее решение об отсутствии необходимо</w:t>
      </w:r>
      <w:r w:rsidR="00E13D74">
        <w:rPr>
          <w:i/>
          <w:szCs w:val="24"/>
        </w:rPr>
        <w:t>сти в оказании услуг по второму</w:t>
      </w:r>
      <w:r w:rsidRPr="003D1565">
        <w:rPr>
          <w:i/>
          <w:szCs w:val="24"/>
        </w:rPr>
        <w:t xml:space="preserve"> этапу, направив оценщику уведомление в письменной форме</w:t>
      </w:r>
      <w:r w:rsidRPr="003D1565">
        <w:rPr>
          <w:szCs w:val="24"/>
        </w:rPr>
        <w:t>.</w:t>
      </w:r>
    </w:p>
    <w:p w:rsidR="002117CD" w:rsidRPr="003D1565" w:rsidRDefault="002117CD" w:rsidP="002117CD">
      <w:pPr>
        <w:numPr>
          <w:ilvl w:val="0"/>
          <w:numId w:val="3"/>
        </w:numPr>
        <w:spacing w:before="240" w:after="240"/>
        <w:ind w:left="0" w:firstLine="0"/>
        <w:jc w:val="center"/>
        <w:rPr>
          <w:b/>
          <w:szCs w:val="24"/>
        </w:rPr>
      </w:pPr>
      <w:r w:rsidRPr="003D1565">
        <w:rPr>
          <w:b/>
          <w:szCs w:val="24"/>
        </w:rPr>
        <w:t>СРОКИ ОКАЗАНИЯ УСЛУГ ПО ЭТАПАМ</w:t>
      </w:r>
    </w:p>
    <w:p w:rsidR="002117CD" w:rsidRPr="003D1565" w:rsidRDefault="002117CD" w:rsidP="002117CD">
      <w:pPr>
        <w:numPr>
          <w:ilvl w:val="1"/>
          <w:numId w:val="3"/>
        </w:numPr>
        <w:spacing w:before="120" w:after="120"/>
        <w:ind w:left="0" w:firstLine="0"/>
        <w:rPr>
          <w:b/>
          <w:szCs w:val="24"/>
        </w:rPr>
      </w:pPr>
      <w:r w:rsidRPr="003D1565">
        <w:rPr>
          <w:b/>
          <w:szCs w:val="24"/>
        </w:rPr>
        <w:t>Начало оказания услуг:</w:t>
      </w:r>
    </w:p>
    <w:p w:rsidR="002117CD" w:rsidRPr="003D1565" w:rsidRDefault="002117CD" w:rsidP="002117CD">
      <w:pPr>
        <w:ind w:firstLine="709"/>
        <w:jc w:val="both"/>
        <w:rPr>
          <w:szCs w:val="24"/>
        </w:rPr>
      </w:pPr>
      <w:r w:rsidRPr="003D1565">
        <w:rPr>
          <w:szCs w:val="24"/>
        </w:rPr>
        <w:t>с момента заключения Договора.</w:t>
      </w:r>
    </w:p>
    <w:p w:rsidR="002117CD" w:rsidRPr="00E96A39" w:rsidRDefault="002117CD" w:rsidP="002117CD">
      <w:pPr>
        <w:numPr>
          <w:ilvl w:val="1"/>
          <w:numId w:val="3"/>
        </w:numPr>
        <w:spacing w:before="120" w:after="120"/>
        <w:ind w:left="0" w:firstLine="0"/>
        <w:jc w:val="both"/>
        <w:rPr>
          <w:b/>
          <w:szCs w:val="24"/>
        </w:rPr>
      </w:pPr>
      <w:r w:rsidRPr="00E96A39">
        <w:rPr>
          <w:b/>
          <w:szCs w:val="24"/>
        </w:rPr>
        <w:t>Первый этап – оказание услуг по оценке рын</w:t>
      </w:r>
      <w:r w:rsidR="00304F57" w:rsidRPr="00E96A39">
        <w:rPr>
          <w:b/>
          <w:szCs w:val="24"/>
        </w:rPr>
        <w:t xml:space="preserve">очной стоимости </w:t>
      </w:r>
      <w:r w:rsidR="008D0169" w:rsidRPr="00E96A39">
        <w:rPr>
          <w:b/>
          <w:szCs w:val="24"/>
        </w:rPr>
        <w:t>100</w:t>
      </w:r>
      <w:r w:rsidRPr="00E96A39">
        <w:rPr>
          <w:b/>
          <w:szCs w:val="24"/>
        </w:rPr>
        <w:t>% пакета акций АО «</w:t>
      </w:r>
      <w:r w:rsidR="008D0169" w:rsidRPr="00E96A39">
        <w:rPr>
          <w:b/>
          <w:szCs w:val="24"/>
        </w:rPr>
        <w:t xml:space="preserve">Воронежская </w:t>
      </w:r>
      <w:proofErr w:type="spellStart"/>
      <w:r w:rsidR="008D0169" w:rsidRPr="00E96A39">
        <w:rPr>
          <w:b/>
          <w:szCs w:val="24"/>
        </w:rPr>
        <w:t>горэлектросеть</w:t>
      </w:r>
      <w:proofErr w:type="spellEnd"/>
      <w:r w:rsidRPr="00E96A39">
        <w:rPr>
          <w:b/>
          <w:szCs w:val="24"/>
        </w:rPr>
        <w:t>»:</w:t>
      </w:r>
    </w:p>
    <w:p w:rsidR="002117CD" w:rsidRPr="003D1565" w:rsidRDefault="002117CD" w:rsidP="002117CD">
      <w:pPr>
        <w:ind w:firstLine="709"/>
        <w:jc w:val="both"/>
        <w:rPr>
          <w:szCs w:val="24"/>
        </w:rPr>
      </w:pPr>
      <w:r w:rsidRPr="003D1565">
        <w:rPr>
          <w:szCs w:val="24"/>
        </w:rPr>
        <w:t>-</w:t>
      </w:r>
      <w:r w:rsidRPr="003D1565">
        <w:rPr>
          <w:szCs w:val="24"/>
        </w:rPr>
        <w:tab/>
        <w:t xml:space="preserve">подготовка и представление предварительного проекта Отчета об оценке для рассмотрения Заказчику осуществляется не позднее </w:t>
      </w:r>
      <w:r w:rsidR="00E96A39">
        <w:rPr>
          <w:szCs w:val="24"/>
        </w:rPr>
        <w:t>14</w:t>
      </w:r>
      <w:r w:rsidRPr="003D1565">
        <w:rPr>
          <w:szCs w:val="24"/>
        </w:rPr>
        <w:t xml:space="preserve"> (</w:t>
      </w:r>
      <w:r w:rsidR="00E96A39">
        <w:rPr>
          <w:szCs w:val="24"/>
        </w:rPr>
        <w:t>четырнадцати</w:t>
      </w:r>
      <w:r w:rsidRPr="003D1565">
        <w:rPr>
          <w:szCs w:val="24"/>
        </w:rPr>
        <w:t>) календарных дней с момента</w:t>
      </w:r>
      <w:r w:rsidR="00E96A39">
        <w:rPr>
          <w:szCs w:val="24"/>
        </w:rPr>
        <w:t xml:space="preserve"> предоставления всей необходимой документации для проведения оценки</w:t>
      </w:r>
      <w:r w:rsidRPr="003D1565">
        <w:rPr>
          <w:szCs w:val="24"/>
        </w:rPr>
        <w:t>;</w:t>
      </w:r>
    </w:p>
    <w:p w:rsidR="002117CD" w:rsidRPr="002A5440" w:rsidRDefault="002117CD" w:rsidP="002117CD">
      <w:pPr>
        <w:ind w:firstLine="709"/>
        <w:jc w:val="both"/>
        <w:rPr>
          <w:szCs w:val="24"/>
        </w:rPr>
      </w:pPr>
      <w:r w:rsidRPr="002A5440">
        <w:rPr>
          <w:szCs w:val="24"/>
        </w:rPr>
        <w:t>-</w:t>
      </w:r>
      <w:r w:rsidRPr="002A5440">
        <w:rPr>
          <w:szCs w:val="24"/>
        </w:rPr>
        <w:tab/>
        <w:t>заве</w:t>
      </w:r>
      <w:r w:rsidR="00E96A39" w:rsidRPr="002A5440">
        <w:rPr>
          <w:szCs w:val="24"/>
        </w:rPr>
        <w:t>ршение оказания услуг по первому</w:t>
      </w:r>
      <w:r w:rsidRPr="002A5440">
        <w:rPr>
          <w:szCs w:val="24"/>
        </w:rPr>
        <w:t xml:space="preserve"> этапу – не позднее 5 (пяти) рабочих дней с момента рассмотрения Заказчиком проекта Отчета об оценке или, в случае проведения корпоративных процедур по сделке с Объектом оценки, с момента получения протокола Совета директоров ПАО</w:t>
      </w:r>
      <w:r w:rsidR="00A76C0A" w:rsidRPr="002A5440">
        <w:rPr>
          <w:szCs w:val="24"/>
        </w:rPr>
        <w:t> </w:t>
      </w:r>
      <w:r w:rsidRPr="002A5440">
        <w:rPr>
          <w:szCs w:val="24"/>
        </w:rPr>
        <w:t>«МРСК</w:t>
      </w:r>
      <w:r w:rsidR="008D0169" w:rsidRPr="002A5440">
        <w:rPr>
          <w:szCs w:val="24"/>
        </w:rPr>
        <w:t xml:space="preserve"> Центра</w:t>
      </w:r>
      <w:r w:rsidRPr="002A5440">
        <w:rPr>
          <w:szCs w:val="24"/>
        </w:rPr>
        <w:t>»</w:t>
      </w:r>
      <w:r w:rsidR="00FF3A45" w:rsidRPr="002A5440">
        <w:rPr>
          <w:szCs w:val="24"/>
        </w:rPr>
        <w:t>, но не позднее 31.12.2019</w:t>
      </w:r>
      <w:r w:rsidRPr="002A5440">
        <w:rPr>
          <w:szCs w:val="24"/>
        </w:rPr>
        <w:t>.</w:t>
      </w:r>
    </w:p>
    <w:p w:rsidR="002117CD" w:rsidRPr="002A5440" w:rsidRDefault="00E96A39" w:rsidP="002117CD">
      <w:pPr>
        <w:numPr>
          <w:ilvl w:val="1"/>
          <w:numId w:val="3"/>
        </w:numPr>
        <w:spacing w:before="120" w:after="120"/>
        <w:ind w:left="0" w:firstLine="0"/>
        <w:jc w:val="both"/>
        <w:rPr>
          <w:b/>
          <w:szCs w:val="24"/>
        </w:rPr>
      </w:pPr>
      <w:r w:rsidRPr="002A5440">
        <w:rPr>
          <w:b/>
          <w:szCs w:val="24"/>
        </w:rPr>
        <w:t>Второй</w:t>
      </w:r>
      <w:r w:rsidR="002117CD" w:rsidRPr="002A5440">
        <w:rPr>
          <w:b/>
          <w:szCs w:val="24"/>
        </w:rPr>
        <w:t xml:space="preserve"> этап – сопровождение экспертизы СРО Отчета об оценке, подготовленного оценщиком и предоставление положительного экспертного заключения:</w:t>
      </w:r>
    </w:p>
    <w:p w:rsidR="002117CD" w:rsidRPr="003D1565" w:rsidRDefault="002117CD" w:rsidP="002117CD">
      <w:pPr>
        <w:ind w:firstLine="709"/>
        <w:jc w:val="both"/>
        <w:rPr>
          <w:szCs w:val="24"/>
        </w:rPr>
      </w:pPr>
      <w:r w:rsidRPr="003D1565">
        <w:rPr>
          <w:szCs w:val="24"/>
        </w:rPr>
        <w:t>Проводится при необходимости по официальному письменному запросу Заказчика, но не позднее 2 (двух) лет с момента заключения Договора:</w:t>
      </w:r>
    </w:p>
    <w:p w:rsidR="002117CD" w:rsidRPr="002A5440" w:rsidRDefault="002117CD" w:rsidP="002117CD">
      <w:pPr>
        <w:ind w:firstLine="709"/>
        <w:jc w:val="both"/>
        <w:rPr>
          <w:szCs w:val="24"/>
        </w:rPr>
      </w:pPr>
      <w:r w:rsidRPr="003D1565">
        <w:rPr>
          <w:szCs w:val="24"/>
        </w:rPr>
        <w:t>-</w:t>
      </w:r>
      <w:r w:rsidR="00E96A39">
        <w:rPr>
          <w:szCs w:val="24"/>
        </w:rPr>
        <w:tab/>
      </w:r>
      <w:r w:rsidR="00E96A39" w:rsidRPr="002A5440">
        <w:rPr>
          <w:szCs w:val="24"/>
        </w:rPr>
        <w:t>срок оказания услуг по второму</w:t>
      </w:r>
      <w:r w:rsidRPr="002A5440">
        <w:rPr>
          <w:szCs w:val="24"/>
        </w:rPr>
        <w:t xml:space="preserve"> этапу – не более 10 (десяти) рабочих дней с момента направления Заказчиком официального пи</w:t>
      </w:r>
      <w:r w:rsidR="0062102D" w:rsidRPr="002A5440">
        <w:rPr>
          <w:szCs w:val="24"/>
        </w:rPr>
        <w:t>сьменного запроса;</w:t>
      </w:r>
    </w:p>
    <w:p w:rsidR="0062102D" w:rsidRPr="002A5440" w:rsidRDefault="0062102D" w:rsidP="009221A8">
      <w:pPr>
        <w:ind w:firstLine="426"/>
        <w:jc w:val="both"/>
        <w:rPr>
          <w:szCs w:val="24"/>
        </w:rPr>
      </w:pPr>
      <w:r w:rsidRPr="002A5440">
        <w:rPr>
          <w:szCs w:val="24"/>
        </w:rPr>
        <w:t xml:space="preserve">    -        завершение</w:t>
      </w:r>
      <w:r w:rsidR="00E96A39" w:rsidRPr="002A5440">
        <w:rPr>
          <w:szCs w:val="24"/>
        </w:rPr>
        <w:t xml:space="preserve"> оказания услуг по второму</w:t>
      </w:r>
      <w:r w:rsidRPr="002A5440">
        <w:rPr>
          <w:szCs w:val="24"/>
        </w:rPr>
        <w:t xml:space="preserve"> этапу – не позднее 5 (пяти) рабочих дней с момента рассмотрения </w:t>
      </w:r>
      <w:r w:rsidR="00E96A39" w:rsidRPr="002A5440">
        <w:rPr>
          <w:szCs w:val="24"/>
        </w:rPr>
        <w:t>экспертного заключения на отчет об</w:t>
      </w:r>
      <w:r w:rsidRPr="002A5440">
        <w:rPr>
          <w:szCs w:val="24"/>
        </w:rPr>
        <w:t xml:space="preserve"> оценке Заказчиком или, в случае проведения корпоративных процедур по сделке с оцениваемым имуществом, с момента получения протокола Совета директоров ПАО «МРСК Центра»</w:t>
      </w:r>
      <w:r w:rsidR="00FF3A45" w:rsidRPr="002A5440">
        <w:rPr>
          <w:szCs w:val="24"/>
        </w:rPr>
        <w:t>, но не позднее 31.12.2019</w:t>
      </w:r>
      <w:r w:rsidRPr="002A5440">
        <w:rPr>
          <w:szCs w:val="24"/>
        </w:rPr>
        <w:t>.</w:t>
      </w:r>
    </w:p>
    <w:p w:rsidR="0062102D" w:rsidRPr="002A5440" w:rsidRDefault="0062102D" w:rsidP="002117CD">
      <w:pPr>
        <w:ind w:firstLine="709"/>
        <w:jc w:val="both"/>
        <w:rPr>
          <w:szCs w:val="24"/>
        </w:rPr>
      </w:pPr>
    </w:p>
    <w:p w:rsidR="002117CD" w:rsidRPr="003D1565" w:rsidRDefault="002117CD" w:rsidP="002117CD">
      <w:pPr>
        <w:tabs>
          <w:tab w:val="left" w:pos="284"/>
        </w:tabs>
        <w:ind w:firstLine="709"/>
        <w:jc w:val="both"/>
        <w:rPr>
          <w:i/>
          <w:szCs w:val="24"/>
        </w:rPr>
      </w:pPr>
      <w:r w:rsidRPr="002A5440">
        <w:rPr>
          <w:i/>
          <w:szCs w:val="24"/>
        </w:rPr>
        <w:t>В случае нарушения сроков оказания услуг по оценке, ПАО «МРСК</w:t>
      </w:r>
      <w:r w:rsidR="008D0169" w:rsidRPr="002A5440">
        <w:rPr>
          <w:i/>
          <w:szCs w:val="24"/>
        </w:rPr>
        <w:t xml:space="preserve"> Центра</w:t>
      </w:r>
      <w:r w:rsidRPr="002A5440">
        <w:rPr>
          <w:i/>
          <w:szCs w:val="24"/>
        </w:rPr>
        <w:t>» вправе наложить на исполнителя штраф в размере 0,1% (одна десятая процента) от стоимости оказываемых</w:t>
      </w:r>
      <w:r w:rsidRPr="003D1565">
        <w:rPr>
          <w:i/>
          <w:szCs w:val="24"/>
        </w:rPr>
        <w:t xml:space="preserve"> услуг за каждый день просрочки по Договору.</w:t>
      </w:r>
    </w:p>
    <w:p w:rsidR="002117CD" w:rsidRDefault="002117CD" w:rsidP="00E07740">
      <w:pPr>
        <w:ind w:firstLine="709"/>
        <w:jc w:val="both"/>
        <w:rPr>
          <w:i/>
          <w:szCs w:val="24"/>
        </w:rPr>
      </w:pPr>
      <w:r w:rsidRPr="003D1565">
        <w:rPr>
          <w:i/>
          <w:szCs w:val="24"/>
        </w:rPr>
        <w:t>Заказчик вправе принять одностороннее решение об отсутствии необходим</w:t>
      </w:r>
      <w:r w:rsidR="00E13D74">
        <w:rPr>
          <w:i/>
          <w:szCs w:val="24"/>
        </w:rPr>
        <w:t>ости в оказании услуг по второму</w:t>
      </w:r>
      <w:r w:rsidRPr="003D1565">
        <w:rPr>
          <w:i/>
          <w:szCs w:val="24"/>
        </w:rPr>
        <w:t xml:space="preserve"> этапу оказания услуг, направив оценщику уведомление в письменной форме. В этом случае Договор считается исполненным Сторонами.</w:t>
      </w:r>
    </w:p>
    <w:p w:rsidR="00E07740" w:rsidRDefault="00C0314E" w:rsidP="00E07740">
      <w:pPr>
        <w:numPr>
          <w:ilvl w:val="0"/>
          <w:numId w:val="3"/>
        </w:numPr>
        <w:spacing w:before="240" w:after="240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 xml:space="preserve">ФОРМА, </w:t>
      </w:r>
      <w:r w:rsidR="00E07740" w:rsidRPr="003D1565">
        <w:rPr>
          <w:b/>
          <w:szCs w:val="24"/>
        </w:rPr>
        <w:t xml:space="preserve">СРОКИ </w:t>
      </w:r>
      <w:r>
        <w:rPr>
          <w:b/>
          <w:szCs w:val="24"/>
        </w:rPr>
        <w:t>И ПОРЯДОК ОПЛАТЫ ЗА ОКАЗЫВАЕМЫЕ УСЛУГИ:</w:t>
      </w:r>
    </w:p>
    <w:p w:rsidR="00C0314E" w:rsidRPr="009221A8" w:rsidRDefault="0062102D" w:rsidP="009221A8">
      <w:pPr>
        <w:numPr>
          <w:ilvl w:val="1"/>
          <w:numId w:val="3"/>
        </w:numPr>
        <w:spacing w:before="120" w:after="120"/>
        <w:ind w:left="0" w:firstLine="0"/>
        <w:jc w:val="both"/>
        <w:rPr>
          <w:szCs w:val="24"/>
        </w:rPr>
      </w:pPr>
      <w:r w:rsidRPr="009221A8">
        <w:rPr>
          <w:szCs w:val="24"/>
        </w:rPr>
        <w:t xml:space="preserve">Оплата услуг по каждому из </w:t>
      </w:r>
      <w:r w:rsidR="00C0314E" w:rsidRPr="009221A8">
        <w:rPr>
          <w:szCs w:val="24"/>
        </w:rPr>
        <w:t>этап</w:t>
      </w:r>
      <w:r w:rsidRPr="009221A8">
        <w:rPr>
          <w:szCs w:val="24"/>
        </w:rPr>
        <w:t>ов</w:t>
      </w:r>
      <w:r w:rsidR="00C0314E" w:rsidRPr="009221A8">
        <w:rPr>
          <w:szCs w:val="24"/>
        </w:rPr>
        <w:t xml:space="preserve"> оказания услуг по Договору производится безналичным расчетом в течение 30 (тридцати) </w:t>
      </w:r>
      <w:r w:rsidR="00443BD8">
        <w:rPr>
          <w:szCs w:val="24"/>
        </w:rPr>
        <w:t>рабочих</w:t>
      </w:r>
      <w:r w:rsidR="00C0314E" w:rsidRPr="009221A8">
        <w:rPr>
          <w:szCs w:val="24"/>
        </w:rPr>
        <w:t xml:space="preserve"> дней после подписания Сторонами Акта приема-сдачи оказанных услуг и предоставления счета или счета-фактуры.</w:t>
      </w:r>
    </w:p>
    <w:p w:rsidR="00C0314E" w:rsidRPr="00C0314E" w:rsidRDefault="00C0314E" w:rsidP="009221A8">
      <w:pPr>
        <w:numPr>
          <w:ilvl w:val="1"/>
          <w:numId w:val="3"/>
        </w:numPr>
        <w:spacing w:before="120" w:after="120"/>
        <w:ind w:left="0" w:firstLine="0"/>
        <w:jc w:val="both"/>
        <w:rPr>
          <w:szCs w:val="24"/>
        </w:rPr>
      </w:pPr>
      <w:r w:rsidRPr="00C0314E">
        <w:rPr>
          <w:szCs w:val="24"/>
        </w:rPr>
        <w:t xml:space="preserve">В случае отсутствия </w:t>
      </w:r>
      <w:r w:rsidR="00E96A39">
        <w:rPr>
          <w:szCs w:val="24"/>
        </w:rPr>
        <w:t>необходимости, услуги по второму</w:t>
      </w:r>
      <w:r w:rsidRPr="00C0314E">
        <w:rPr>
          <w:szCs w:val="24"/>
        </w:rPr>
        <w:t xml:space="preserve"> этапу не оказываются, а оплата по</w:t>
      </w:r>
      <w:r w:rsidR="00E96A39">
        <w:rPr>
          <w:szCs w:val="24"/>
        </w:rPr>
        <w:t xml:space="preserve"> второму</w:t>
      </w:r>
      <w:r w:rsidR="0062102D">
        <w:rPr>
          <w:szCs w:val="24"/>
        </w:rPr>
        <w:t xml:space="preserve"> этапу</w:t>
      </w:r>
      <w:r w:rsidRPr="00C0314E">
        <w:rPr>
          <w:szCs w:val="24"/>
        </w:rPr>
        <w:t xml:space="preserve"> не производится.</w:t>
      </w:r>
    </w:p>
    <w:p w:rsidR="00C0314E" w:rsidRPr="00C0314E" w:rsidRDefault="00C0314E" w:rsidP="009221A8">
      <w:pPr>
        <w:numPr>
          <w:ilvl w:val="1"/>
          <w:numId w:val="3"/>
        </w:numPr>
        <w:spacing w:before="120" w:after="120"/>
        <w:ind w:left="0" w:firstLine="0"/>
        <w:jc w:val="both"/>
        <w:rPr>
          <w:szCs w:val="24"/>
        </w:rPr>
      </w:pPr>
      <w:r w:rsidRPr="00C0314E">
        <w:rPr>
          <w:szCs w:val="24"/>
        </w:rPr>
        <w:t>Датой исполнения денежного обязательства является день списания денежной суммы со счета ПАО «МРСК Центра».</w:t>
      </w:r>
    </w:p>
    <w:p w:rsidR="00C0314E" w:rsidRPr="00211692" w:rsidRDefault="00211692" w:rsidP="00211692">
      <w:pPr>
        <w:ind w:firstLine="709"/>
        <w:jc w:val="both"/>
        <w:rPr>
          <w:i/>
          <w:szCs w:val="24"/>
        </w:rPr>
      </w:pPr>
      <w:r w:rsidRPr="00211692">
        <w:rPr>
          <w:i/>
          <w:szCs w:val="24"/>
        </w:rPr>
        <w:t xml:space="preserve">Завершение оказания услуг по каждому этапу </w:t>
      </w:r>
      <w:r>
        <w:rPr>
          <w:i/>
          <w:szCs w:val="24"/>
        </w:rPr>
        <w:t>указано в разделе 5 настоящего Задания.</w:t>
      </w:r>
    </w:p>
    <w:p w:rsidR="00E07740" w:rsidRPr="00B8045E" w:rsidRDefault="00E07740" w:rsidP="00E07740">
      <w:pPr>
        <w:ind w:firstLine="709"/>
        <w:jc w:val="both"/>
        <w:rPr>
          <w:szCs w:val="24"/>
        </w:rPr>
      </w:pPr>
    </w:p>
    <w:p w:rsidR="00A4664F" w:rsidRDefault="00A4664F"/>
    <w:p w:rsidR="00A4664F" w:rsidRDefault="00A4664F"/>
    <w:p w:rsidR="00A4664F" w:rsidRDefault="00A4664F"/>
    <w:p w:rsidR="00A4664F" w:rsidRDefault="00A4664F"/>
    <w:p w:rsidR="00A4664F" w:rsidRDefault="00A4664F"/>
    <w:p w:rsidR="00A4664F" w:rsidRDefault="00A4664F"/>
    <w:p w:rsidR="00A4664F" w:rsidRDefault="00A4664F"/>
    <w:p w:rsidR="00A4664F" w:rsidRDefault="00A4664F"/>
    <w:p w:rsidR="00E96A39" w:rsidRDefault="00E96A39" w:rsidP="00A4664F">
      <w:pPr>
        <w:jc w:val="right"/>
      </w:pPr>
    </w:p>
    <w:p w:rsidR="00E96A39" w:rsidRDefault="00E96A39" w:rsidP="00A4664F">
      <w:pPr>
        <w:jc w:val="right"/>
      </w:pPr>
    </w:p>
    <w:p w:rsidR="00E96A39" w:rsidRDefault="00E96A39" w:rsidP="00A4664F">
      <w:pPr>
        <w:jc w:val="right"/>
      </w:pPr>
    </w:p>
    <w:p w:rsidR="00E96A39" w:rsidRDefault="00E96A39" w:rsidP="00A4664F">
      <w:pPr>
        <w:jc w:val="right"/>
      </w:pPr>
    </w:p>
    <w:p w:rsidR="00E96A39" w:rsidRDefault="00E96A39" w:rsidP="00A4664F">
      <w:pPr>
        <w:jc w:val="right"/>
      </w:pPr>
    </w:p>
    <w:p w:rsidR="00E96A39" w:rsidRDefault="00E96A39" w:rsidP="00A4664F">
      <w:pPr>
        <w:jc w:val="right"/>
      </w:pPr>
    </w:p>
    <w:p w:rsidR="00E96A39" w:rsidRDefault="00E96A39" w:rsidP="00A4664F">
      <w:pPr>
        <w:jc w:val="right"/>
      </w:pPr>
    </w:p>
    <w:p w:rsidR="00E96A39" w:rsidRDefault="00E96A39" w:rsidP="00A4664F">
      <w:pPr>
        <w:jc w:val="right"/>
      </w:pPr>
    </w:p>
    <w:p w:rsidR="00E96A39" w:rsidRDefault="00E96A39" w:rsidP="00A4664F">
      <w:pPr>
        <w:jc w:val="right"/>
      </w:pPr>
    </w:p>
    <w:p w:rsidR="00E96A39" w:rsidRDefault="00E96A39" w:rsidP="00A4664F">
      <w:pPr>
        <w:jc w:val="right"/>
      </w:pPr>
    </w:p>
    <w:p w:rsidR="00E96A39" w:rsidRDefault="00E96A39" w:rsidP="00A4664F">
      <w:pPr>
        <w:jc w:val="right"/>
      </w:pPr>
    </w:p>
    <w:p w:rsidR="00E96A39" w:rsidRDefault="00E96A39" w:rsidP="00A4664F">
      <w:pPr>
        <w:jc w:val="right"/>
      </w:pPr>
    </w:p>
    <w:p w:rsidR="00E96A39" w:rsidRDefault="00E96A39" w:rsidP="00A4664F">
      <w:pPr>
        <w:jc w:val="right"/>
      </w:pPr>
    </w:p>
    <w:p w:rsidR="00DF4A54" w:rsidRDefault="00DF4A54" w:rsidP="00A4664F">
      <w:pPr>
        <w:jc w:val="right"/>
      </w:pPr>
    </w:p>
    <w:p w:rsidR="00DF4A54" w:rsidRDefault="00DF4A54" w:rsidP="00A4664F">
      <w:pPr>
        <w:jc w:val="right"/>
      </w:pPr>
    </w:p>
    <w:p w:rsidR="00DF4A54" w:rsidRDefault="00DF4A54" w:rsidP="00A4664F">
      <w:pPr>
        <w:jc w:val="right"/>
      </w:pPr>
    </w:p>
    <w:p w:rsidR="00E96A39" w:rsidRDefault="00E96A39" w:rsidP="00A4664F">
      <w:pPr>
        <w:jc w:val="right"/>
      </w:pPr>
    </w:p>
    <w:p w:rsidR="00E96A39" w:rsidRDefault="00E96A39" w:rsidP="00A4664F">
      <w:pPr>
        <w:jc w:val="right"/>
      </w:pPr>
    </w:p>
    <w:p w:rsidR="00A4664F" w:rsidRDefault="00A4664F" w:rsidP="00A4664F">
      <w:pPr>
        <w:jc w:val="right"/>
      </w:pPr>
      <w:r>
        <w:t>Приложение №1 к Заданию на оценку</w:t>
      </w:r>
    </w:p>
    <w:p w:rsidR="00515DAA" w:rsidRDefault="00515DAA" w:rsidP="00A4664F">
      <w:pPr>
        <w:jc w:val="right"/>
      </w:pPr>
    </w:p>
    <w:p w:rsidR="00515DAA" w:rsidRPr="003D1565" w:rsidRDefault="00AB234A" w:rsidP="00515DAA">
      <w:pPr>
        <w:jc w:val="center"/>
        <w:rPr>
          <w:szCs w:val="24"/>
        </w:rPr>
      </w:pPr>
      <w:r>
        <w:rPr>
          <w:b/>
          <w:szCs w:val="24"/>
        </w:rPr>
        <w:t xml:space="preserve">План </w:t>
      </w:r>
      <w:r w:rsidR="00106B7F" w:rsidRPr="00106B7F">
        <w:rPr>
          <w:b/>
          <w:szCs w:val="24"/>
        </w:rPr>
        <w:t>проверк</w:t>
      </w:r>
      <w:r>
        <w:rPr>
          <w:b/>
          <w:szCs w:val="24"/>
        </w:rPr>
        <w:t>и</w:t>
      </w:r>
      <w:r w:rsidR="00106B7F" w:rsidRPr="00106B7F">
        <w:rPr>
          <w:b/>
          <w:szCs w:val="24"/>
        </w:rPr>
        <w:t xml:space="preserve"> достоверности информации о финансово-хозяйственной деятельности</w:t>
      </w:r>
      <w:r w:rsidR="00515DAA" w:rsidRPr="003D1565">
        <w:rPr>
          <w:b/>
          <w:szCs w:val="24"/>
        </w:rPr>
        <w:t xml:space="preserve"> АО «</w:t>
      </w:r>
      <w:r w:rsidR="00106B7F">
        <w:rPr>
          <w:b/>
          <w:szCs w:val="24"/>
        </w:rPr>
        <w:t>Воронежская</w:t>
      </w:r>
      <w:r w:rsidR="00515DAA">
        <w:rPr>
          <w:b/>
          <w:szCs w:val="24"/>
        </w:rPr>
        <w:t xml:space="preserve"> </w:t>
      </w:r>
      <w:proofErr w:type="spellStart"/>
      <w:r w:rsidR="00515DAA">
        <w:rPr>
          <w:b/>
          <w:szCs w:val="24"/>
        </w:rPr>
        <w:t>горэлектросеть</w:t>
      </w:r>
      <w:proofErr w:type="spellEnd"/>
      <w:r w:rsidR="00515DAA" w:rsidRPr="003D1565">
        <w:rPr>
          <w:b/>
          <w:szCs w:val="24"/>
        </w:rPr>
        <w:t>»</w:t>
      </w:r>
    </w:p>
    <w:p w:rsidR="00515DAA" w:rsidRPr="00AB234A" w:rsidRDefault="00515DAA" w:rsidP="00AB234A">
      <w:pPr>
        <w:pStyle w:val="a4"/>
        <w:numPr>
          <w:ilvl w:val="0"/>
          <w:numId w:val="23"/>
        </w:numPr>
        <w:spacing w:before="120" w:after="120"/>
        <w:rPr>
          <w:rFonts w:ascii="Times New Roman" w:hAnsi="Times New Roman"/>
          <w:b/>
          <w:sz w:val="24"/>
          <w:szCs w:val="24"/>
        </w:rPr>
      </w:pPr>
      <w:r w:rsidRPr="00AB234A">
        <w:rPr>
          <w:rFonts w:ascii="Times New Roman" w:hAnsi="Times New Roman"/>
          <w:b/>
          <w:sz w:val="24"/>
          <w:szCs w:val="24"/>
        </w:rPr>
        <w:t>Состав и объем услуг:</w:t>
      </w:r>
    </w:p>
    <w:p w:rsidR="00515DAA" w:rsidRPr="003D1565" w:rsidRDefault="00106B7F" w:rsidP="00515DAA">
      <w:pPr>
        <w:ind w:firstLine="709"/>
        <w:jc w:val="both"/>
        <w:rPr>
          <w:szCs w:val="24"/>
        </w:rPr>
      </w:pPr>
      <w:r>
        <w:rPr>
          <w:szCs w:val="24"/>
        </w:rPr>
        <w:t xml:space="preserve">Проверка достоверности информации о финансово-хозяйственной деятельности </w:t>
      </w:r>
      <w:r w:rsidR="00515DAA" w:rsidRPr="003D1565">
        <w:rPr>
          <w:szCs w:val="24"/>
        </w:rPr>
        <w:t>включает в себя следующие виды экспертиз: финансовую, юридическую, налоговую и экспертизу инвестиционной деятельности.</w:t>
      </w:r>
    </w:p>
    <w:p w:rsidR="00515DAA" w:rsidRPr="00AB234A" w:rsidRDefault="00515DAA" w:rsidP="00AB234A">
      <w:pPr>
        <w:pStyle w:val="a4"/>
        <w:numPr>
          <w:ilvl w:val="0"/>
          <w:numId w:val="23"/>
        </w:numPr>
        <w:spacing w:before="120" w:after="120"/>
        <w:rPr>
          <w:rFonts w:ascii="Times New Roman" w:hAnsi="Times New Roman"/>
          <w:b/>
          <w:sz w:val="24"/>
          <w:szCs w:val="24"/>
        </w:rPr>
      </w:pPr>
      <w:r w:rsidRPr="00AB234A">
        <w:rPr>
          <w:rFonts w:ascii="Times New Roman" w:hAnsi="Times New Roman"/>
          <w:b/>
          <w:sz w:val="24"/>
          <w:szCs w:val="24"/>
        </w:rPr>
        <w:t>Объект экспертизы:</w:t>
      </w:r>
    </w:p>
    <w:p w:rsidR="00515DAA" w:rsidRPr="003D1565" w:rsidRDefault="00515DAA" w:rsidP="00515DAA">
      <w:pPr>
        <w:ind w:firstLine="709"/>
        <w:jc w:val="both"/>
        <w:rPr>
          <w:szCs w:val="24"/>
        </w:rPr>
      </w:pPr>
      <w:r w:rsidRPr="003D1565">
        <w:rPr>
          <w:szCs w:val="24"/>
        </w:rPr>
        <w:t>Акционерное общество «</w:t>
      </w:r>
      <w:r>
        <w:rPr>
          <w:szCs w:val="24"/>
        </w:rPr>
        <w:t xml:space="preserve">Воронежская </w:t>
      </w:r>
      <w:proofErr w:type="spellStart"/>
      <w:r>
        <w:rPr>
          <w:szCs w:val="24"/>
        </w:rPr>
        <w:t>горэлектросеть</w:t>
      </w:r>
      <w:proofErr w:type="spellEnd"/>
      <w:r w:rsidRPr="003D1565">
        <w:rPr>
          <w:szCs w:val="24"/>
        </w:rPr>
        <w:t>» (далее Компания).</w:t>
      </w:r>
    </w:p>
    <w:p w:rsidR="00515DAA" w:rsidRPr="00AB234A" w:rsidRDefault="00515DAA" w:rsidP="00AB234A">
      <w:pPr>
        <w:pStyle w:val="a4"/>
        <w:numPr>
          <w:ilvl w:val="0"/>
          <w:numId w:val="23"/>
        </w:numPr>
        <w:spacing w:before="120" w:after="120"/>
        <w:rPr>
          <w:rFonts w:ascii="Times New Roman" w:hAnsi="Times New Roman"/>
          <w:b/>
          <w:sz w:val="24"/>
          <w:szCs w:val="24"/>
        </w:rPr>
      </w:pPr>
      <w:r w:rsidRPr="00AB234A">
        <w:rPr>
          <w:rFonts w:ascii="Times New Roman" w:hAnsi="Times New Roman"/>
          <w:b/>
          <w:sz w:val="24"/>
          <w:szCs w:val="24"/>
        </w:rPr>
        <w:t>Финансовая экспертиза:</w:t>
      </w:r>
    </w:p>
    <w:p w:rsidR="00515DAA" w:rsidRPr="003D1565" w:rsidRDefault="00515DAA" w:rsidP="00515DAA">
      <w:pPr>
        <w:widowControl w:val="0"/>
        <w:tabs>
          <w:tab w:val="left" w:pos="709"/>
        </w:tabs>
        <w:spacing w:before="120" w:after="120"/>
        <w:ind w:firstLine="709"/>
        <w:jc w:val="both"/>
        <w:rPr>
          <w:rFonts w:eastAsia="Calibri"/>
          <w:b/>
          <w:color w:val="000000"/>
          <w:szCs w:val="24"/>
          <w:lang w:eastAsia="en-US"/>
        </w:rPr>
      </w:pPr>
      <w:r w:rsidRPr="003D1565">
        <w:rPr>
          <w:rFonts w:eastAsia="Calibri"/>
          <w:b/>
          <w:color w:val="000000"/>
          <w:szCs w:val="24"/>
          <w:lang w:eastAsia="en-US"/>
        </w:rPr>
        <w:t>Период финансовой экспертизы:</w:t>
      </w:r>
    </w:p>
    <w:p w:rsidR="00515DAA" w:rsidRPr="003D1565" w:rsidRDefault="00515DAA" w:rsidP="00515DAA">
      <w:pPr>
        <w:widowControl w:val="0"/>
        <w:numPr>
          <w:ilvl w:val="0"/>
          <w:numId w:val="5"/>
        </w:numPr>
        <w:tabs>
          <w:tab w:val="left" w:pos="709"/>
        </w:tabs>
        <w:ind w:left="0" w:firstLine="709"/>
        <w:contextualSpacing/>
        <w:jc w:val="both"/>
        <w:rPr>
          <w:rFonts w:eastAsia="Calibri"/>
          <w:color w:val="000000"/>
          <w:szCs w:val="24"/>
          <w:lang w:eastAsia="en-US"/>
        </w:rPr>
      </w:pPr>
      <w:r w:rsidRPr="003D1565">
        <w:rPr>
          <w:rFonts w:eastAsia="Calibri"/>
          <w:color w:val="000000"/>
          <w:szCs w:val="24"/>
          <w:lang w:eastAsia="en-US"/>
        </w:rPr>
        <w:t>Финансовое положение Компании за 201</w:t>
      </w:r>
      <w:r w:rsidR="007561EE">
        <w:rPr>
          <w:rFonts w:eastAsia="Calibri"/>
          <w:color w:val="000000"/>
          <w:szCs w:val="24"/>
          <w:lang w:eastAsia="en-US"/>
        </w:rPr>
        <w:t xml:space="preserve">6, </w:t>
      </w:r>
      <w:r w:rsidRPr="003D1565">
        <w:rPr>
          <w:rFonts w:eastAsia="Calibri"/>
          <w:color w:val="000000"/>
          <w:szCs w:val="24"/>
          <w:lang w:eastAsia="en-US"/>
        </w:rPr>
        <w:t>201</w:t>
      </w:r>
      <w:r w:rsidR="007561EE">
        <w:rPr>
          <w:rFonts w:eastAsia="Calibri"/>
          <w:color w:val="000000"/>
          <w:szCs w:val="24"/>
          <w:lang w:eastAsia="en-US"/>
        </w:rPr>
        <w:t xml:space="preserve">7 и </w:t>
      </w:r>
      <w:r w:rsidR="00EE63D3">
        <w:rPr>
          <w:rFonts w:eastAsia="Calibri"/>
          <w:color w:val="000000"/>
          <w:szCs w:val="24"/>
          <w:lang w:eastAsia="en-US"/>
        </w:rPr>
        <w:t>с 1 января 2018 по 22 октября 2018г</w:t>
      </w:r>
    </w:p>
    <w:p w:rsidR="00515DAA" w:rsidRPr="00EE63D3" w:rsidRDefault="00515DAA" w:rsidP="00773E2C">
      <w:pPr>
        <w:widowControl w:val="0"/>
        <w:numPr>
          <w:ilvl w:val="0"/>
          <w:numId w:val="5"/>
        </w:numPr>
        <w:tabs>
          <w:tab w:val="left" w:pos="709"/>
        </w:tabs>
        <w:ind w:left="0" w:firstLine="709"/>
        <w:contextualSpacing/>
        <w:jc w:val="both"/>
        <w:rPr>
          <w:rFonts w:eastAsia="Calibri"/>
          <w:b/>
          <w:color w:val="000000"/>
          <w:szCs w:val="24"/>
          <w:lang w:eastAsia="en-US"/>
        </w:rPr>
      </w:pPr>
      <w:r w:rsidRPr="00EE63D3">
        <w:rPr>
          <w:rFonts w:eastAsia="Calibri"/>
          <w:color w:val="000000"/>
          <w:szCs w:val="24"/>
          <w:lang w:eastAsia="en-US"/>
        </w:rPr>
        <w:t>Финансовые результаты Компании</w:t>
      </w:r>
      <w:r w:rsidR="007561EE" w:rsidRPr="00EE63D3">
        <w:rPr>
          <w:rFonts w:eastAsia="Calibri"/>
          <w:color w:val="000000"/>
          <w:szCs w:val="24"/>
          <w:lang w:eastAsia="en-US"/>
        </w:rPr>
        <w:t xml:space="preserve"> за 2016, 2017 и </w:t>
      </w:r>
      <w:r w:rsidR="00EE63D3" w:rsidRPr="00EE63D3">
        <w:rPr>
          <w:rFonts w:eastAsia="Calibri"/>
          <w:color w:val="000000"/>
          <w:szCs w:val="24"/>
          <w:lang w:eastAsia="en-US"/>
        </w:rPr>
        <w:t>с 1 января 2018 по 22 октября 2018</w:t>
      </w:r>
      <w:r w:rsidR="00DF4A54">
        <w:rPr>
          <w:rFonts w:eastAsia="Calibri"/>
          <w:color w:val="000000"/>
          <w:szCs w:val="24"/>
          <w:lang w:eastAsia="en-US"/>
        </w:rPr>
        <w:t>г</w:t>
      </w:r>
      <w:r w:rsidR="00EE63D3" w:rsidRPr="00EE63D3">
        <w:rPr>
          <w:rFonts w:eastAsia="Calibri"/>
          <w:color w:val="000000"/>
          <w:szCs w:val="24"/>
          <w:lang w:eastAsia="en-US"/>
        </w:rPr>
        <w:t>.</w:t>
      </w:r>
    </w:p>
    <w:p w:rsidR="00515DAA" w:rsidRPr="003D1565" w:rsidRDefault="00515DAA" w:rsidP="00515DAA">
      <w:pPr>
        <w:widowControl w:val="0"/>
        <w:tabs>
          <w:tab w:val="left" w:pos="709"/>
        </w:tabs>
        <w:spacing w:before="120" w:after="120"/>
        <w:ind w:firstLine="709"/>
        <w:jc w:val="both"/>
        <w:rPr>
          <w:rFonts w:eastAsia="Calibri"/>
          <w:b/>
          <w:color w:val="000000"/>
          <w:szCs w:val="24"/>
          <w:lang w:eastAsia="en-US"/>
        </w:rPr>
      </w:pPr>
      <w:r w:rsidRPr="003D1565">
        <w:rPr>
          <w:rFonts w:eastAsia="Calibri"/>
          <w:b/>
          <w:color w:val="000000"/>
          <w:szCs w:val="24"/>
          <w:lang w:eastAsia="en-US"/>
        </w:rPr>
        <w:t>Источники финансовой информации:</w:t>
      </w:r>
    </w:p>
    <w:p w:rsidR="00EE63D3" w:rsidRDefault="00515DAA" w:rsidP="00AE5665">
      <w:pPr>
        <w:widowControl w:val="0"/>
        <w:numPr>
          <w:ilvl w:val="0"/>
          <w:numId w:val="4"/>
        </w:numPr>
        <w:tabs>
          <w:tab w:val="left" w:pos="709"/>
        </w:tabs>
        <w:ind w:left="0" w:firstLine="709"/>
        <w:contextualSpacing/>
        <w:jc w:val="both"/>
        <w:rPr>
          <w:rFonts w:eastAsia="Calibri"/>
          <w:color w:val="000000"/>
          <w:szCs w:val="24"/>
          <w:lang w:eastAsia="en-US"/>
        </w:rPr>
      </w:pPr>
      <w:r w:rsidRPr="00EE63D3">
        <w:rPr>
          <w:rFonts w:eastAsia="Calibri"/>
          <w:color w:val="000000"/>
          <w:szCs w:val="24"/>
          <w:lang w:eastAsia="en-US"/>
        </w:rPr>
        <w:t>Данные индивидуальной финансовой отчетности Компании по РСБУ за</w:t>
      </w:r>
      <w:r w:rsidR="007561EE" w:rsidRPr="00EE63D3">
        <w:rPr>
          <w:rFonts w:eastAsia="Calibri"/>
          <w:color w:val="000000"/>
          <w:szCs w:val="24"/>
          <w:lang w:eastAsia="en-US"/>
        </w:rPr>
        <w:t xml:space="preserve"> 2016, 2017 и </w:t>
      </w:r>
      <w:r w:rsidR="00EE63D3" w:rsidRPr="00EE63D3">
        <w:rPr>
          <w:rFonts w:eastAsia="Calibri"/>
          <w:color w:val="000000"/>
          <w:szCs w:val="24"/>
          <w:lang w:eastAsia="en-US"/>
        </w:rPr>
        <w:t>с 1 января 2018 по 22 октября 2018</w:t>
      </w:r>
      <w:r w:rsidR="00DF4A54">
        <w:rPr>
          <w:rFonts w:eastAsia="Calibri"/>
          <w:color w:val="000000"/>
          <w:szCs w:val="24"/>
          <w:lang w:eastAsia="en-US"/>
        </w:rPr>
        <w:t>г</w:t>
      </w:r>
      <w:r w:rsidR="00EE63D3">
        <w:rPr>
          <w:rFonts w:eastAsia="Calibri"/>
          <w:color w:val="000000"/>
          <w:szCs w:val="24"/>
          <w:lang w:eastAsia="en-US"/>
        </w:rPr>
        <w:t>.</w:t>
      </w:r>
    </w:p>
    <w:p w:rsidR="00515DAA" w:rsidRPr="00EE63D3" w:rsidRDefault="00515DAA" w:rsidP="00AE5665">
      <w:pPr>
        <w:widowControl w:val="0"/>
        <w:numPr>
          <w:ilvl w:val="0"/>
          <w:numId w:val="4"/>
        </w:numPr>
        <w:tabs>
          <w:tab w:val="left" w:pos="709"/>
        </w:tabs>
        <w:ind w:left="0" w:firstLine="709"/>
        <w:contextualSpacing/>
        <w:jc w:val="both"/>
        <w:rPr>
          <w:rFonts w:eastAsia="Calibri"/>
          <w:color w:val="000000"/>
          <w:szCs w:val="24"/>
          <w:lang w:eastAsia="en-US"/>
        </w:rPr>
      </w:pPr>
      <w:r w:rsidRPr="00EE63D3">
        <w:rPr>
          <w:rFonts w:eastAsia="Calibri"/>
          <w:color w:val="000000"/>
          <w:szCs w:val="24"/>
          <w:lang w:eastAsia="en-US"/>
        </w:rPr>
        <w:t>Данные управленческой отчетности Компании за тот же период.</w:t>
      </w:r>
    </w:p>
    <w:p w:rsidR="00515DAA" w:rsidRPr="003D1565" w:rsidRDefault="00515DAA" w:rsidP="00515DAA">
      <w:pPr>
        <w:widowControl w:val="0"/>
        <w:tabs>
          <w:tab w:val="left" w:pos="709"/>
        </w:tabs>
        <w:spacing w:before="120" w:after="120"/>
        <w:ind w:firstLine="709"/>
        <w:jc w:val="both"/>
        <w:rPr>
          <w:rFonts w:eastAsia="Calibri"/>
          <w:b/>
          <w:color w:val="000000"/>
          <w:szCs w:val="24"/>
          <w:lang w:eastAsia="en-US"/>
        </w:rPr>
      </w:pPr>
      <w:r w:rsidRPr="003D1565">
        <w:rPr>
          <w:rFonts w:eastAsia="Calibri"/>
          <w:b/>
          <w:color w:val="000000"/>
          <w:szCs w:val="24"/>
          <w:lang w:eastAsia="en-US"/>
        </w:rPr>
        <w:t>Процедуры финансовой экспертизы:</w:t>
      </w:r>
    </w:p>
    <w:tbl>
      <w:tblPr>
        <w:tblW w:w="9781" w:type="dxa"/>
        <w:jc w:val="center"/>
        <w:tblBorders>
          <w:top w:val="single" w:sz="4" w:space="0" w:color="7F7E82"/>
          <w:bottom w:val="single" w:sz="4" w:space="0" w:color="7F7E82"/>
          <w:insideH w:val="single" w:sz="4" w:space="0" w:color="7F7E82"/>
          <w:insideV w:val="single" w:sz="4" w:space="0" w:color="7F7E82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3935"/>
        <w:gridCol w:w="5137"/>
      </w:tblGrid>
      <w:tr w:rsidR="00515DAA" w:rsidRPr="003D1565" w:rsidTr="006E0961">
        <w:trPr>
          <w:cantSplit/>
          <w:jc w:val="center"/>
        </w:trPr>
        <w:tc>
          <w:tcPr>
            <w:tcW w:w="9781" w:type="dxa"/>
            <w:gridSpan w:val="4"/>
          </w:tcPr>
          <w:p w:rsidR="00515DAA" w:rsidRPr="003D1565" w:rsidRDefault="00515DAA" w:rsidP="006E0961">
            <w:pPr>
              <w:numPr>
                <w:ilvl w:val="0"/>
                <w:numId w:val="18"/>
              </w:numPr>
              <w:contextualSpacing/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Обзор юридической и операционной структуры Компании, а также структуры привлеченного финансирования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1.1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Обзор юридической и операционной структуры </w:t>
            </w:r>
            <w:r w:rsidRPr="003D1565">
              <w:rPr>
                <w:rFonts w:eastAsia="Calibri"/>
                <w:color w:val="000000"/>
                <w:sz w:val="20"/>
                <w:lang w:eastAsia="en-US"/>
              </w:rPr>
              <w:t>Компании</w:t>
            </w:r>
            <w:r w:rsidRPr="003D1565">
              <w:rPr>
                <w:color w:val="000000"/>
                <w:sz w:val="20"/>
                <w:lang w:eastAsia="en-US"/>
              </w:rPr>
              <w:t>, а также структуры привлеченного финансирования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Описание юридической структуры </w:t>
            </w:r>
            <w:r w:rsidRPr="003D1565">
              <w:rPr>
                <w:rFonts w:eastAsia="Calibri"/>
                <w:color w:val="000000"/>
                <w:sz w:val="20"/>
                <w:lang w:eastAsia="en-US"/>
              </w:rPr>
              <w:t xml:space="preserve">Компании </w:t>
            </w:r>
            <w:r w:rsidRPr="003D1565">
              <w:rPr>
                <w:color w:val="000000"/>
                <w:sz w:val="20"/>
                <w:lang w:eastAsia="en-US"/>
              </w:rPr>
              <w:t>с указанием применимой доли владения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1.2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Обзор юридической и операционной структуры </w:t>
            </w:r>
            <w:r w:rsidRPr="003D1565">
              <w:rPr>
                <w:rFonts w:eastAsia="Calibri"/>
                <w:color w:val="000000"/>
                <w:sz w:val="20"/>
                <w:lang w:eastAsia="en-US"/>
              </w:rPr>
              <w:t>Компании</w:t>
            </w:r>
            <w:r w:rsidRPr="003D1565">
              <w:rPr>
                <w:color w:val="000000"/>
                <w:sz w:val="20"/>
                <w:lang w:eastAsia="en-US"/>
              </w:rPr>
              <w:t>, а также структуры привлеченного финансирования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Описание  операций со связанными с </w:t>
            </w:r>
            <w:r w:rsidRPr="003D1565">
              <w:rPr>
                <w:rFonts w:eastAsia="Calibri"/>
                <w:color w:val="000000"/>
                <w:sz w:val="20"/>
                <w:lang w:eastAsia="en-US"/>
              </w:rPr>
              <w:t>Компанией лицами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1.3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Обзор юридической и операционной структуры </w:t>
            </w:r>
            <w:r w:rsidRPr="003D1565">
              <w:rPr>
                <w:rFonts w:eastAsia="Calibri"/>
                <w:color w:val="000000"/>
                <w:sz w:val="20"/>
                <w:lang w:eastAsia="en-US"/>
              </w:rPr>
              <w:t>Компании</w:t>
            </w:r>
            <w:r w:rsidRPr="003D1565">
              <w:rPr>
                <w:color w:val="000000"/>
                <w:sz w:val="20"/>
                <w:lang w:eastAsia="en-US"/>
              </w:rPr>
              <w:t>, а также структуры привлеченного финансирования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Описание операционной структуры деятельности Компании в разрезе основных сегментов бизнеса, с указанием основных материальных и денежных потоков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1.4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Обзор юридической и операционной структуры </w:t>
            </w:r>
            <w:r w:rsidRPr="003D1565">
              <w:rPr>
                <w:rFonts w:eastAsia="Calibri"/>
                <w:color w:val="000000"/>
                <w:sz w:val="20"/>
                <w:lang w:eastAsia="en-US"/>
              </w:rPr>
              <w:t>Компании</w:t>
            </w:r>
            <w:r w:rsidRPr="003D1565">
              <w:rPr>
                <w:color w:val="000000"/>
                <w:sz w:val="20"/>
                <w:lang w:eastAsia="en-US"/>
              </w:rPr>
              <w:t>, а также структуры привлеченного финансирования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Описание динамики основных количественных показателей операционной деятельности Компании: объем полезного отпуска электрической энергии, объем технологических потерь электрической энергии, объем присоединенной мощности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1.5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Обзор юридической и операционной структуры Компании, а также структуры привлеченного финансирования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Описание используемых основных активов (информация по собственному и арендованному имуществу): протяженность воздушных и кабельных линий электропередач, установленная мощность подстанций, комментарии в отношении прочего имущества Компании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1.6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Обзор юридической и операционной структуры Компании, а также структуры привлеченного финансирования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Описание действующей практики тарифного регулирования деятельности Компании, анализ исторических данных по установленным тарифам на передачу электрической энергии. 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1.7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Обзор юридической и операционной структуры Компании, а также структуры привлеченного финансирования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Обзор ключевых операционных договоров Компании с конечными потребителями (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энергосбытовые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 xml:space="preserve"> организации, смежные сетевые организации)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1.8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Обзор юридической и операционной структуры Компании, а также структуры привлеченного финансирования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Описание источников финансирования Компании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1.9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Обзор юридической и операционной структуры Компании, а также структуры привлеченного финансирования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основных инвестиционных проектов Компании в течение анализируемых периодов, обзор утвержденных программ капитальных вложений Компании (индивидуально по электрической энергии), анализ исполнения бюджета капитальных вложений.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утвержденных источников финансирования инвестиционной программы Компании.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9781" w:type="dxa"/>
            <w:gridSpan w:val="4"/>
          </w:tcPr>
          <w:p w:rsidR="00515DAA" w:rsidRPr="003D1565" w:rsidRDefault="00515DAA" w:rsidP="006E0961">
            <w:pPr>
              <w:numPr>
                <w:ilvl w:val="0"/>
                <w:numId w:val="18"/>
              </w:numPr>
              <w:contextualSpacing/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Обзор организационной структуры и системы вознаграждения персонала Компании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2.1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Обзор организационной структуры и системы вознаграждения персонала Компании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Обзор общей организационной структуры, системы корпоративного управления и среднесписочной численности персонала Компании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2.2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Обзор организационной структуры и системы вознаграждения персонала Компании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Описание системы вознаграждения персонала Компании (в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т.ч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. политика вознаграждения, пенсионные планы, положения коллективного договора и политики премирования)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2.3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Обзор организационной структуры и системы вознаграждения персонала Компании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Описание системы вознаграждения ключевого управленческого персонала (в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т.ч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. политика премирования, опционные и пенсионные программы, «золотые парашюты» и т.п.)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9781" w:type="dxa"/>
            <w:gridSpan w:val="4"/>
          </w:tcPr>
          <w:p w:rsidR="00515DAA" w:rsidRPr="003D1565" w:rsidRDefault="00515DAA" w:rsidP="006E0961">
            <w:pPr>
              <w:numPr>
                <w:ilvl w:val="0"/>
                <w:numId w:val="18"/>
              </w:numPr>
              <w:contextualSpacing/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Источники финансовой информации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3.1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Источники финансовой информации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Обзор основных источников финансовой информации Компании, используемых в рамках финансовой экспертизы. Комментарии в отношении достоверности источников информации, а также последовательности применения учетных принципов в течение анализируемых периодов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3.3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Источники финансовой информации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Описание основных принципов и отличий учетной политики бухгалтерской и управленческой отчетности Компании. 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val="en-US" w:eastAsia="en-US"/>
              </w:rPr>
            </w:pPr>
            <w:r w:rsidRPr="003D1565">
              <w:rPr>
                <w:color w:val="000000"/>
                <w:sz w:val="20"/>
                <w:lang w:val="en-US" w:eastAsia="en-US"/>
              </w:rPr>
              <w:t>3.4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Источники финансовой информации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Обзор аудиторских заключений и Письменной информации аудиторов по итогам аудиторских проверок бухгалтерской отчетности Компании за анализируемый период. Комментарии по выполнению рекомендаций аудиторов (если применимо).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9781" w:type="dxa"/>
            <w:gridSpan w:val="4"/>
          </w:tcPr>
          <w:p w:rsidR="00515DAA" w:rsidRPr="003D1565" w:rsidRDefault="00515DAA" w:rsidP="006E0961">
            <w:pPr>
              <w:numPr>
                <w:ilvl w:val="0"/>
                <w:numId w:val="18"/>
              </w:numPr>
              <w:contextualSpacing/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Анализ регулируемой деятельности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4.1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регулируемой деятельности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Обзор методов расчета и индексации тарифа на передачу электрической энергии. Обзор применимых предпосылок, норм и отраслевых стандартов.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4.2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регулируемой деятельности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последовательности применения методов расчета тарифов по передаче электрической энергии в течение анализируемых периодов (</w:t>
            </w:r>
            <w:r w:rsidRPr="003D1565">
              <w:rPr>
                <w:color w:val="000000"/>
                <w:sz w:val="20"/>
                <w:lang w:val="en-US" w:eastAsia="en-US"/>
              </w:rPr>
              <w:t>RAB</w:t>
            </w:r>
            <w:r w:rsidRPr="003D1565">
              <w:rPr>
                <w:color w:val="000000"/>
                <w:sz w:val="20"/>
                <w:lang w:eastAsia="en-US"/>
              </w:rPr>
              <w:t xml:space="preserve"> регулирование, индексирование и т.д.). Комментарии в отношении изменений. Используемый механизм компенсации выпадающих доходов, а также установления предельного уровня роста тарифов («сглаживания») (если применимо). Комментарии в отношении полученных государственных субсидий.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4.3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регулируемой деятельности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тарифных моделей / обзор тарифных заявок Компании, анализ корреспонденции с регулирующими органами.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4.4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регулируемой деятельности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практики утверждения текущих и капитальных расходов в рамках тарифных заявок со стороны РЭК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val="en-US" w:eastAsia="en-US"/>
              </w:rPr>
              <w:t>4.</w:t>
            </w:r>
            <w:r w:rsidRPr="003D1565">
              <w:rPr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регулируемой деятельности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Сравнение утвержденных регулирующим органом значений собственной НВВ Компании с фактически сложившейся тарифной выручкой. Комментарии в отношении основных причин отклонений.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val="en-US" w:eastAsia="en-US"/>
              </w:rPr>
              <w:t>4.</w:t>
            </w:r>
            <w:r w:rsidRPr="003D1565">
              <w:rPr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регулируемой деятельности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Комментарии в отношении источников формирования базы капитала, использованных для расчета тарифов на оказание услуг по передаче электрической энергии в течение анализируемых периодов. 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9781" w:type="dxa"/>
            <w:gridSpan w:val="4"/>
          </w:tcPr>
          <w:p w:rsidR="00515DAA" w:rsidRPr="003D1565" w:rsidRDefault="00515DAA" w:rsidP="006E0961">
            <w:pPr>
              <w:numPr>
                <w:ilvl w:val="0"/>
                <w:numId w:val="18"/>
              </w:numPr>
              <w:contextualSpacing/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Анализ качества доходов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5</w:t>
            </w:r>
            <w:r w:rsidR="00515DAA" w:rsidRPr="003D1565">
              <w:rPr>
                <w:color w:val="000000"/>
                <w:sz w:val="20"/>
                <w:lang w:eastAsia="en-US"/>
              </w:rPr>
              <w:t>.1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качества доходов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Краткий обзор основных статей отчета о прибылях и убытках, включая анализ продаж, валовой прибыли и </w:t>
            </w:r>
            <w:r w:rsidRPr="003D1565">
              <w:rPr>
                <w:color w:val="000000"/>
                <w:sz w:val="20"/>
                <w:lang w:val="en-US" w:eastAsia="en-US"/>
              </w:rPr>
              <w:t>EBITDA</w:t>
            </w:r>
            <w:r w:rsidRPr="003D1565">
              <w:rPr>
                <w:color w:val="000000"/>
                <w:sz w:val="20"/>
                <w:lang w:eastAsia="en-US"/>
              </w:rPr>
              <w:t xml:space="preserve"> в общем по Компании, комментарии относительно причин их существенных колебаний.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5</w:t>
            </w:r>
            <w:r w:rsidR="00515DAA" w:rsidRPr="003D1565">
              <w:rPr>
                <w:color w:val="000000"/>
                <w:sz w:val="20"/>
                <w:lang w:eastAsia="en-US"/>
              </w:rPr>
              <w:t>.2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качества доходов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Сверка показателей финансового и управленческого учета на уровне выручки, </w:t>
            </w:r>
            <w:r w:rsidRPr="003D1565">
              <w:rPr>
                <w:color w:val="000000"/>
                <w:sz w:val="20"/>
                <w:lang w:val="en-US" w:eastAsia="en-US"/>
              </w:rPr>
              <w:t>EBITDA</w:t>
            </w:r>
            <w:r w:rsidRPr="003D1565">
              <w:rPr>
                <w:color w:val="000000"/>
                <w:sz w:val="20"/>
                <w:lang w:eastAsia="en-US"/>
              </w:rPr>
              <w:t>, чистой прибыли (если применимо)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5</w:t>
            </w:r>
            <w:r w:rsidR="00515DAA" w:rsidRPr="003D1565">
              <w:rPr>
                <w:color w:val="000000"/>
                <w:sz w:val="20"/>
                <w:lang w:eastAsia="en-US"/>
              </w:rPr>
              <w:t>.3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качества доходов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Анализ выручки в разрезе операционных сегментов бизнеса (передача э/э, технологическое подключения к сетям, передача т/э, оказание услуг, прочее), географических сегментов, крупнейших покупателей (в количественном и стоимостном выражении). 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5</w:t>
            </w:r>
            <w:r w:rsidR="00515DAA" w:rsidRPr="003D1565">
              <w:rPr>
                <w:color w:val="000000"/>
                <w:sz w:val="20"/>
                <w:lang w:eastAsia="en-US"/>
              </w:rPr>
              <w:t>.4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качества доходов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Анализ динамики основных статей производственной себестоимости в течение анализируемых периодов по видам деятельности, в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т.ч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.:</w:t>
            </w:r>
          </w:p>
          <w:p w:rsidR="00515DAA" w:rsidRPr="003D1565" w:rsidRDefault="00515DAA" w:rsidP="006E0961">
            <w:pPr>
              <w:numPr>
                <w:ilvl w:val="0"/>
                <w:numId w:val="16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Услуги по передаче э/э (анализ тарифов ОАО «ФСК ЕЭС», объем передачи э/э по магистральным сетям, динамика потерь);</w:t>
            </w:r>
          </w:p>
          <w:p w:rsidR="00515DAA" w:rsidRPr="003D1565" w:rsidRDefault="00515DAA" w:rsidP="006E0961">
            <w:pPr>
              <w:numPr>
                <w:ilvl w:val="0"/>
                <w:numId w:val="16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Расходы на компенсацию потерь сбытовым компаниям (в стоимостном и количественном выражении). Комментарии в отношении нормативных и сверхнормативных потерь энергии;</w:t>
            </w:r>
          </w:p>
          <w:p w:rsidR="00515DAA" w:rsidRPr="003D1565" w:rsidRDefault="00515DAA" w:rsidP="006E0961">
            <w:pPr>
              <w:numPr>
                <w:ilvl w:val="0"/>
                <w:numId w:val="16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Расходы на топливо (уголь, газ, мазут и т.д.) в стоимостном и количественном выражении (если применимо);</w:t>
            </w:r>
          </w:p>
          <w:p w:rsidR="00515DAA" w:rsidRPr="003D1565" w:rsidRDefault="00515DAA" w:rsidP="006E0961">
            <w:pPr>
              <w:numPr>
                <w:ilvl w:val="0"/>
                <w:numId w:val="16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Оплата труда (среднесписочная численность персонала, средняя заработная плата);</w:t>
            </w:r>
          </w:p>
          <w:p w:rsidR="00515DAA" w:rsidRPr="003D1565" w:rsidRDefault="00515DAA" w:rsidP="006E0961">
            <w:pPr>
              <w:numPr>
                <w:ilvl w:val="0"/>
                <w:numId w:val="16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Расходы на ремонт и обслуживание объектов электросетевого хозяйства;</w:t>
            </w:r>
          </w:p>
          <w:p w:rsidR="00515DAA" w:rsidRPr="003D1565" w:rsidRDefault="00515DAA" w:rsidP="006E0961">
            <w:pPr>
              <w:numPr>
                <w:ilvl w:val="0"/>
                <w:numId w:val="16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Прочие статьи себестоимости (в разрезе основных статей)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5</w:t>
            </w:r>
            <w:r w:rsidR="00515DAA" w:rsidRPr="003D1565">
              <w:rPr>
                <w:color w:val="000000"/>
                <w:sz w:val="20"/>
                <w:lang w:eastAsia="en-US"/>
              </w:rPr>
              <w:t>.5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качества доходов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прочих доходов и расходов. Комментарии в отношении существенных единовременных доходов и расходов.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5</w:t>
            </w:r>
            <w:r w:rsidR="00515DAA" w:rsidRPr="003D1565">
              <w:rPr>
                <w:color w:val="000000"/>
                <w:sz w:val="20"/>
                <w:lang w:eastAsia="en-US"/>
              </w:rPr>
              <w:t>.6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качества доходов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val="en-US"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сезонности бизнеса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val="en-US" w:eastAsia="en-US"/>
              </w:rPr>
            </w:pPr>
          </w:p>
        </w:tc>
      </w:tr>
      <w:tr w:rsidR="00515DAA" w:rsidRPr="003D1565" w:rsidTr="006E0961">
        <w:trPr>
          <w:cantSplit/>
          <w:jc w:val="center"/>
        </w:trPr>
        <w:tc>
          <w:tcPr>
            <w:tcW w:w="9781" w:type="dxa"/>
            <w:gridSpan w:val="4"/>
          </w:tcPr>
          <w:p w:rsidR="00515DAA" w:rsidRPr="003D1565" w:rsidRDefault="00515DAA" w:rsidP="006E0961">
            <w:pPr>
              <w:numPr>
                <w:ilvl w:val="0"/>
                <w:numId w:val="18"/>
              </w:numPr>
              <w:contextualSpacing/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Анализ финансового положения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6</w:t>
            </w:r>
            <w:r w:rsidR="00515DAA" w:rsidRPr="003D1565">
              <w:rPr>
                <w:color w:val="000000"/>
                <w:sz w:val="20"/>
                <w:lang w:eastAsia="en-US"/>
              </w:rPr>
              <w:t>.1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финансового положения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основных элементов бухгалтерского баланса. Краткие комментарии по поводу изменения основных статей баланса на анализируемые даты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6</w:t>
            </w:r>
            <w:r w:rsidR="00515DAA" w:rsidRPr="003D1565">
              <w:rPr>
                <w:color w:val="000000"/>
                <w:sz w:val="20"/>
                <w:lang w:eastAsia="en-US"/>
              </w:rPr>
              <w:t>.2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финансового положения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Анализ основных средств в разрезе групп учета, в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т.ч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.:</w:t>
            </w:r>
          </w:p>
          <w:p w:rsidR="00515DAA" w:rsidRPr="003D1565" w:rsidRDefault="00515DAA" w:rsidP="006E0961">
            <w:pPr>
              <w:numPr>
                <w:ilvl w:val="0"/>
                <w:numId w:val="15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существенных изменений в течение анализируемых периодов (в разрезе групп учета);</w:t>
            </w:r>
          </w:p>
          <w:p w:rsidR="00515DAA" w:rsidRPr="003D1565" w:rsidRDefault="00515DAA" w:rsidP="006E0961">
            <w:pPr>
              <w:numPr>
                <w:ilvl w:val="0"/>
                <w:numId w:val="15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потенциального обесценения основных средств;</w:t>
            </w:r>
          </w:p>
          <w:p w:rsidR="00515DAA" w:rsidRPr="003D1565" w:rsidRDefault="00515DAA" w:rsidP="006E0961">
            <w:pPr>
              <w:numPr>
                <w:ilvl w:val="0"/>
                <w:numId w:val="15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основных средств, являющихся предметом залога;</w:t>
            </w:r>
          </w:p>
          <w:p w:rsidR="00515DAA" w:rsidRPr="003D1565" w:rsidRDefault="00515DAA" w:rsidP="006E0961">
            <w:pPr>
              <w:numPr>
                <w:ilvl w:val="0"/>
                <w:numId w:val="15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крупнейших проектов капитального строительства (ожидаемые сроки и текущий процент завершения, потребности в финансировании);</w:t>
            </w:r>
          </w:p>
          <w:p w:rsidR="00515DAA" w:rsidRPr="003D1565" w:rsidRDefault="00515DAA" w:rsidP="006E0961">
            <w:pPr>
              <w:numPr>
                <w:ilvl w:val="0"/>
                <w:numId w:val="15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прекращенных проектов капитального строительства, а также непрофильных проектов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6</w:t>
            </w:r>
            <w:r w:rsidR="00515DAA" w:rsidRPr="003D1565">
              <w:rPr>
                <w:color w:val="000000"/>
                <w:sz w:val="20"/>
                <w:lang w:eastAsia="en-US"/>
              </w:rPr>
              <w:t>.3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финансового положения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финансовых вложений Компании. Комментарии в отношении возвратности финансовых вложений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6</w:t>
            </w:r>
            <w:r w:rsidR="00515DAA" w:rsidRPr="003D1565">
              <w:rPr>
                <w:color w:val="000000"/>
                <w:sz w:val="20"/>
                <w:lang w:eastAsia="en-US"/>
              </w:rPr>
              <w:t>.4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финансового положения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Анализ запасов в разрезе основных категорий, </w:t>
            </w:r>
            <w:proofErr w:type="gramStart"/>
            <w:r w:rsidRPr="003D1565">
              <w:rPr>
                <w:color w:val="000000"/>
                <w:sz w:val="20"/>
                <w:lang w:eastAsia="en-US"/>
              </w:rPr>
              <w:t xml:space="preserve">в 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т.ч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.</w:t>
            </w:r>
            <w:proofErr w:type="gramEnd"/>
            <w:r w:rsidRPr="003D1565">
              <w:rPr>
                <w:color w:val="000000"/>
                <w:sz w:val="20"/>
                <w:lang w:eastAsia="en-US"/>
              </w:rPr>
              <w:t>:</w:t>
            </w:r>
          </w:p>
          <w:p w:rsidR="00515DAA" w:rsidRPr="003D1565" w:rsidRDefault="00515DAA" w:rsidP="006E0961">
            <w:pPr>
              <w:numPr>
                <w:ilvl w:val="0"/>
                <w:numId w:val="14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используемые принципы оценки запасов;</w:t>
            </w:r>
          </w:p>
          <w:p w:rsidR="00515DAA" w:rsidRPr="003D1565" w:rsidRDefault="00515DAA" w:rsidP="006E0961">
            <w:pPr>
              <w:numPr>
                <w:ilvl w:val="0"/>
                <w:numId w:val="14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оборачиваемости запасов;</w:t>
            </w:r>
          </w:p>
          <w:p w:rsidR="00515DAA" w:rsidRPr="003D1565" w:rsidRDefault="00515DAA" w:rsidP="006E0961">
            <w:pPr>
              <w:numPr>
                <w:ilvl w:val="0"/>
                <w:numId w:val="14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потенциального обесценения запасов;</w:t>
            </w:r>
          </w:p>
          <w:p w:rsidR="00515DAA" w:rsidRPr="003D1565" w:rsidRDefault="00515DAA" w:rsidP="006E0961">
            <w:pPr>
              <w:numPr>
                <w:ilvl w:val="0"/>
                <w:numId w:val="14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имущества, являющегося предметом залога.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6</w:t>
            </w:r>
            <w:r w:rsidR="00515DAA" w:rsidRPr="003D1565">
              <w:rPr>
                <w:color w:val="000000"/>
                <w:sz w:val="20"/>
                <w:lang w:eastAsia="en-US"/>
              </w:rPr>
              <w:t>.5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финансового положения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Анализ структуры и динамики торговой дебиторской задолженности, в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т.ч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.:</w:t>
            </w:r>
          </w:p>
          <w:p w:rsidR="00515DAA" w:rsidRPr="003D1565" w:rsidRDefault="00515DAA" w:rsidP="006E0961">
            <w:pPr>
              <w:numPr>
                <w:ilvl w:val="0"/>
                <w:numId w:val="13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оборачиваемости дебиторской задолженности;</w:t>
            </w:r>
          </w:p>
          <w:p w:rsidR="00515DAA" w:rsidRPr="003D1565" w:rsidRDefault="00515DAA" w:rsidP="006E0961">
            <w:pPr>
              <w:numPr>
                <w:ilvl w:val="0"/>
                <w:numId w:val="13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сроков оплаты задолженности в разрезе контрагентов;</w:t>
            </w:r>
          </w:p>
          <w:p w:rsidR="00515DAA" w:rsidRPr="003D1565" w:rsidRDefault="00515DAA" w:rsidP="006E0961">
            <w:pPr>
              <w:numPr>
                <w:ilvl w:val="0"/>
                <w:numId w:val="13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структуры дебиторской задолженности по срокам возникновения;</w:t>
            </w:r>
          </w:p>
          <w:p w:rsidR="00515DAA" w:rsidRPr="003D1565" w:rsidRDefault="00515DAA" w:rsidP="006E0961">
            <w:pPr>
              <w:numPr>
                <w:ilvl w:val="0"/>
                <w:numId w:val="13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просроченной дебиторской задолженности и задолженности, сомнительной к взысканию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6</w:t>
            </w:r>
            <w:r w:rsidR="00515DAA" w:rsidRPr="003D1565">
              <w:rPr>
                <w:color w:val="000000"/>
                <w:sz w:val="20"/>
                <w:lang w:eastAsia="en-US"/>
              </w:rPr>
              <w:t>.6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финансового положения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прочей дебиторской задолженности в разрезе существенных статей (природа задолженности, комментарии в отношении возвратности). Комментарии в отношении существенных единовременных остатков задолженности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6</w:t>
            </w:r>
            <w:r w:rsidR="00515DAA" w:rsidRPr="003D1565">
              <w:rPr>
                <w:color w:val="000000"/>
                <w:sz w:val="20"/>
                <w:lang w:eastAsia="en-US"/>
              </w:rPr>
              <w:t>.7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финансового положения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денежных средств. Комментарии в отношении остатков денежных средств, имеющих ограничения на использование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6</w:t>
            </w:r>
            <w:r w:rsidR="00515DAA" w:rsidRPr="003D1565">
              <w:rPr>
                <w:color w:val="000000"/>
                <w:sz w:val="20"/>
                <w:lang w:eastAsia="en-US"/>
              </w:rPr>
              <w:t>.8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финансового положения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Анализ обязательств Компании по кредитам и займам, в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т.ч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.:</w:t>
            </w:r>
          </w:p>
          <w:p w:rsidR="00515DAA" w:rsidRPr="003D1565" w:rsidRDefault="00515DAA" w:rsidP="006E0961">
            <w:pPr>
              <w:numPr>
                <w:ilvl w:val="0"/>
                <w:numId w:val="12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Расшифровка задолженности по кредитам и займам в разрезе кредиторов и договоров;</w:t>
            </w:r>
          </w:p>
          <w:p w:rsidR="00515DAA" w:rsidRPr="003D1565" w:rsidRDefault="00515DAA" w:rsidP="006E0961">
            <w:pPr>
              <w:numPr>
                <w:ilvl w:val="0"/>
                <w:numId w:val="12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Краткое описание условий действующих договоров (сроки и график погашения, процентные ставки, ограничительные условия, обеспечение);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6</w:t>
            </w:r>
            <w:r w:rsidR="00515DAA" w:rsidRPr="003D1565">
              <w:rPr>
                <w:color w:val="000000"/>
                <w:sz w:val="20"/>
                <w:lang w:eastAsia="en-US"/>
              </w:rPr>
              <w:t>.9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финансового положения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Анализ обязательств Компании по финансовой аренде, в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т.ч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.:</w:t>
            </w:r>
          </w:p>
          <w:p w:rsidR="00515DAA" w:rsidRPr="003D1565" w:rsidRDefault="00515DAA" w:rsidP="006E0961">
            <w:pPr>
              <w:numPr>
                <w:ilvl w:val="0"/>
                <w:numId w:val="11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Описание арендованного имущества;</w:t>
            </w:r>
          </w:p>
          <w:p w:rsidR="00515DAA" w:rsidRPr="003D1565" w:rsidRDefault="00515DAA" w:rsidP="006E0961">
            <w:pPr>
              <w:numPr>
                <w:ilvl w:val="0"/>
                <w:numId w:val="11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признания обязательств в финансовой отчетности;</w:t>
            </w:r>
          </w:p>
          <w:p w:rsidR="00515DAA" w:rsidRPr="003D1565" w:rsidRDefault="00515DAA" w:rsidP="006E0961">
            <w:pPr>
              <w:numPr>
                <w:ilvl w:val="0"/>
                <w:numId w:val="11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Краткое описание условий действующих договоров финансовой аренды.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6</w:t>
            </w:r>
            <w:r w:rsidR="00515DAA" w:rsidRPr="003D1565">
              <w:rPr>
                <w:color w:val="000000"/>
                <w:sz w:val="20"/>
                <w:lang w:eastAsia="en-US"/>
              </w:rPr>
              <w:t>.10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финансового положения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Анализ обязательств Компании, связанных с пенсионными выплатами, в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т.ч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.:</w:t>
            </w:r>
          </w:p>
          <w:p w:rsidR="00515DAA" w:rsidRPr="003D1565" w:rsidRDefault="00515DAA" w:rsidP="006E0961">
            <w:pPr>
              <w:numPr>
                <w:ilvl w:val="0"/>
                <w:numId w:val="10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описание действующих пенсионных планов;</w:t>
            </w:r>
          </w:p>
          <w:p w:rsidR="00515DAA" w:rsidRPr="003D1565" w:rsidRDefault="00515DAA" w:rsidP="006E0961">
            <w:pPr>
              <w:numPr>
                <w:ilvl w:val="0"/>
                <w:numId w:val="10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описание актуарных предпосылок, используемых при расчете пенсионных обязательств. 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6</w:t>
            </w:r>
            <w:r w:rsidR="00515DAA" w:rsidRPr="003D1565">
              <w:rPr>
                <w:color w:val="000000"/>
                <w:sz w:val="20"/>
                <w:lang w:eastAsia="en-US"/>
              </w:rPr>
              <w:t>.11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финансового положения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Анализ структуры и динамики торговой кредиторской задолженности, в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т.ч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.:</w:t>
            </w:r>
          </w:p>
          <w:p w:rsidR="00515DAA" w:rsidRPr="003D1565" w:rsidRDefault="00515DAA" w:rsidP="006E0961">
            <w:pPr>
              <w:numPr>
                <w:ilvl w:val="0"/>
                <w:numId w:val="9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оборачиваемости кредиторской задолженности;</w:t>
            </w:r>
          </w:p>
          <w:p w:rsidR="00515DAA" w:rsidRPr="003D1565" w:rsidRDefault="00515DAA" w:rsidP="006E0961">
            <w:pPr>
              <w:numPr>
                <w:ilvl w:val="0"/>
                <w:numId w:val="9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условий оплаты кредиторской задолженности в разрезе крупнейших поставщиков;</w:t>
            </w:r>
          </w:p>
          <w:p w:rsidR="00515DAA" w:rsidRPr="003D1565" w:rsidRDefault="00515DAA" w:rsidP="006E0961">
            <w:pPr>
              <w:numPr>
                <w:ilvl w:val="0"/>
                <w:numId w:val="9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просроченной кредиторской задолженности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6</w:t>
            </w:r>
            <w:r w:rsidR="00515DAA" w:rsidRPr="003D1565">
              <w:rPr>
                <w:color w:val="000000"/>
                <w:sz w:val="20"/>
                <w:lang w:eastAsia="en-US"/>
              </w:rPr>
              <w:t>.12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финансового положения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val="en-US"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прочей кредиторской задолженности в разрезе существенных статей (природа задолженности, комментарии в отношении возвратности). Комментарии в отношении существенных единовременных остатков задолженности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6</w:t>
            </w:r>
            <w:r w:rsidR="00515DAA" w:rsidRPr="003D1565">
              <w:rPr>
                <w:color w:val="000000"/>
                <w:sz w:val="20"/>
                <w:lang w:eastAsia="en-US"/>
              </w:rPr>
              <w:t>.13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финансового положения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прочих начисленных обязательств:</w:t>
            </w:r>
          </w:p>
          <w:p w:rsidR="00515DAA" w:rsidRPr="003D1565" w:rsidRDefault="00515DAA" w:rsidP="006E0961">
            <w:pPr>
              <w:numPr>
                <w:ilvl w:val="0"/>
                <w:numId w:val="8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Резерв в отношении судебных разбирательств;</w:t>
            </w:r>
          </w:p>
          <w:p w:rsidR="00515DAA" w:rsidRPr="003D1565" w:rsidRDefault="00515DAA" w:rsidP="006E0961">
            <w:pPr>
              <w:numPr>
                <w:ilvl w:val="0"/>
                <w:numId w:val="8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Резерв по неиспользованным отпускам;</w:t>
            </w:r>
          </w:p>
          <w:p w:rsidR="00515DAA" w:rsidRPr="003D1565" w:rsidRDefault="00515DAA" w:rsidP="006E0961">
            <w:pPr>
              <w:numPr>
                <w:ilvl w:val="0"/>
                <w:numId w:val="8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Резерв на выплату годового вознаграждения;</w:t>
            </w:r>
          </w:p>
          <w:p w:rsidR="00515DAA" w:rsidRPr="003D1565" w:rsidRDefault="00515DAA" w:rsidP="006E0961">
            <w:pPr>
              <w:numPr>
                <w:ilvl w:val="0"/>
                <w:numId w:val="8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Прочие начисленные обязательства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9781" w:type="dxa"/>
            <w:gridSpan w:val="4"/>
          </w:tcPr>
          <w:p w:rsidR="00515DAA" w:rsidRPr="003D1565" w:rsidRDefault="00515DAA" w:rsidP="006E0961">
            <w:pPr>
              <w:numPr>
                <w:ilvl w:val="0"/>
                <w:numId w:val="18"/>
              </w:numPr>
              <w:contextualSpacing/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 xml:space="preserve">Расчет показателей </w:t>
            </w:r>
            <w:r w:rsidRPr="003D1565">
              <w:rPr>
                <w:b/>
                <w:color w:val="000000"/>
                <w:sz w:val="20"/>
                <w:lang w:val="en-US" w:eastAsia="en-US"/>
              </w:rPr>
              <w:t>EBITDA</w:t>
            </w:r>
            <w:r w:rsidRPr="003D1565">
              <w:rPr>
                <w:b/>
                <w:color w:val="000000"/>
                <w:sz w:val="20"/>
                <w:lang w:eastAsia="en-US"/>
              </w:rPr>
              <w:t>, Чистый Долг, Чистый оборотный капитал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7</w:t>
            </w:r>
            <w:r w:rsidR="00515DAA" w:rsidRPr="003D1565">
              <w:rPr>
                <w:color w:val="000000"/>
                <w:sz w:val="20"/>
                <w:lang w:eastAsia="en-US"/>
              </w:rPr>
              <w:t>.1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Расчет показателей </w:t>
            </w:r>
            <w:r w:rsidRPr="003D1565">
              <w:rPr>
                <w:color w:val="000000"/>
                <w:sz w:val="20"/>
                <w:lang w:val="en-US" w:eastAsia="en-US"/>
              </w:rPr>
              <w:t>EBITDA</w:t>
            </w:r>
            <w:r w:rsidRPr="003D1565">
              <w:rPr>
                <w:color w:val="000000"/>
                <w:sz w:val="20"/>
                <w:lang w:eastAsia="en-US"/>
              </w:rPr>
              <w:t>, Чистый Долг, Чистый оборотный капитал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На основании процедур секции «Анализ качества доходов», выявление потенциальных корректировок к показателю </w:t>
            </w:r>
            <w:r w:rsidRPr="003D1565">
              <w:rPr>
                <w:color w:val="000000"/>
                <w:sz w:val="20"/>
                <w:lang w:val="en-US" w:eastAsia="en-US"/>
              </w:rPr>
              <w:t>EBITDA</w:t>
            </w:r>
            <w:r w:rsidRPr="003D1565">
              <w:rPr>
                <w:color w:val="000000"/>
                <w:sz w:val="20"/>
                <w:lang w:eastAsia="en-US"/>
              </w:rPr>
              <w:t xml:space="preserve">, рассчитанному на основании данных финансовой отчетности. Факторный анализ изменения скорректированного показателя </w:t>
            </w:r>
            <w:r w:rsidRPr="003D1565">
              <w:rPr>
                <w:color w:val="000000"/>
                <w:sz w:val="20"/>
                <w:lang w:val="en-US" w:eastAsia="en-US"/>
              </w:rPr>
              <w:t>EBITDA</w:t>
            </w:r>
            <w:r w:rsidRPr="003D1565">
              <w:rPr>
                <w:color w:val="000000"/>
                <w:sz w:val="20"/>
                <w:lang w:eastAsia="en-US"/>
              </w:rPr>
              <w:t>.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7</w:t>
            </w:r>
            <w:r w:rsidR="00515DAA" w:rsidRPr="003D1565">
              <w:rPr>
                <w:color w:val="000000"/>
                <w:sz w:val="20"/>
                <w:lang w:eastAsia="en-US"/>
              </w:rPr>
              <w:t>.2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Расчет показателей </w:t>
            </w:r>
            <w:r w:rsidRPr="003D1565">
              <w:rPr>
                <w:color w:val="000000"/>
                <w:sz w:val="20"/>
                <w:lang w:val="en-US" w:eastAsia="en-US"/>
              </w:rPr>
              <w:t>EBITDA</w:t>
            </w:r>
            <w:r w:rsidRPr="003D1565">
              <w:rPr>
                <w:color w:val="000000"/>
                <w:sz w:val="20"/>
                <w:lang w:eastAsia="en-US"/>
              </w:rPr>
              <w:t>, Чистый Долг, Чистый оборотный капитал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val="en-US"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На основании процедур секции «Анализ финансового положения», выявление потенциальных корректировок к показателю Чистого оборотного капитала, рассчитанному на основании данных финансовой отчетности.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val="en-US" w:eastAsia="en-US"/>
              </w:rPr>
            </w:pP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7</w:t>
            </w:r>
            <w:r w:rsidR="00515DAA" w:rsidRPr="003D1565">
              <w:rPr>
                <w:color w:val="000000"/>
                <w:sz w:val="20"/>
                <w:lang w:eastAsia="en-US"/>
              </w:rPr>
              <w:t>.3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Расчет показателей </w:t>
            </w:r>
            <w:r w:rsidRPr="003D1565">
              <w:rPr>
                <w:color w:val="000000"/>
                <w:sz w:val="20"/>
                <w:lang w:val="en-US" w:eastAsia="en-US"/>
              </w:rPr>
              <w:t>EBITDA</w:t>
            </w:r>
            <w:r w:rsidRPr="003D1565">
              <w:rPr>
                <w:color w:val="000000"/>
                <w:sz w:val="20"/>
                <w:lang w:eastAsia="en-US"/>
              </w:rPr>
              <w:t>, Чистый Долг, Чистый оборотный капитал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val="en-US"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На основании процедур секции «Анализ финансового положения», выявление потенциальных корректировок к показателю Чистого Долга, рассчитанному на основании данных финансовой отчетности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val="en-US" w:eastAsia="en-US"/>
              </w:rPr>
            </w:pPr>
          </w:p>
        </w:tc>
      </w:tr>
      <w:tr w:rsidR="00515DAA" w:rsidRPr="003D1565" w:rsidTr="006E0961">
        <w:trPr>
          <w:cantSplit/>
          <w:jc w:val="center"/>
        </w:trPr>
        <w:tc>
          <w:tcPr>
            <w:tcW w:w="9781" w:type="dxa"/>
            <w:gridSpan w:val="4"/>
          </w:tcPr>
          <w:p w:rsidR="00515DAA" w:rsidRPr="003D1565" w:rsidRDefault="00515DAA" w:rsidP="006E0961">
            <w:pPr>
              <w:numPr>
                <w:ilvl w:val="0"/>
                <w:numId w:val="18"/>
              </w:numPr>
              <w:contextualSpacing/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Анализ движения денежных средств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709" w:type="dxa"/>
            <w:gridSpan w:val="2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8</w:t>
            </w:r>
            <w:r w:rsidR="00515DAA" w:rsidRPr="003D1565">
              <w:rPr>
                <w:color w:val="000000"/>
                <w:sz w:val="20"/>
                <w:lang w:eastAsia="en-US"/>
              </w:rPr>
              <w:t>.1</w:t>
            </w:r>
          </w:p>
        </w:tc>
        <w:tc>
          <w:tcPr>
            <w:tcW w:w="3935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движения денежных средств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Краткий обзор движения денежных средств Компании в течение анализируемых периодов:</w:t>
            </w:r>
          </w:p>
          <w:p w:rsidR="00515DAA" w:rsidRPr="003D1565" w:rsidRDefault="00515DAA" w:rsidP="006E0961">
            <w:pPr>
              <w:numPr>
                <w:ilvl w:val="0"/>
                <w:numId w:val="7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Динамика движения денежных средств по операционной деятельности (в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т.ч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. выручка от реализации услуг по передаче энергии и технологического присоединения; оплата услуг ФСК ЕЭС и смежных сетевых организаций);</w:t>
            </w:r>
          </w:p>
          <w:p w:rsidR="00515DAA" w:rsidRPr="003D1565" w:rsidRDefault="00515DAA" w:rsidP="006E0961">
            <w:pPr>
              <w:numPr>
                <w:ilvl w:val="0"/>
                <w:numId w:val="7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Динамика движения денежных средств по финансовой деятельности (в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т.ч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. комментарии в отношении источников заемного финансирования, направления расходования привлеченных денежных средств, источников погашения обязательств и соблюдения Компанией условий платежей по кредитным договорам);</w:t>
            </w:r>
          </w:p>
          <w:p w:rsidR="00515DAA" w:rsidRPr="003D1565" w:rsidRDefault="00515DAA" w:rsidP="006E0961">
            <w:pPr>
              <w:numPr>
                <w:ilvl w:val="0"/>
                <w:numId w:val="7"/>
              </w:numPr>
              <w:contextualSpacing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Динамика движения денежных средств по инвестиционной деятельности (в разрезе направлений деятельности и крупнейших проектов)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9781" w:type="dxa"/>
            <w:gridSpan w:val="4"/>
          </w:tcPr>
          <w:p w:rsidR="00515DAA" w:rsidRPr="003D1565" w:rsidRDefault="00515DAA" w:rsidP="006E0961">
            <w:pPr>
              <w:numPr>
                <w:ilvl w:val="0"/>
                <w:numId w:val="18"/>
              </w:numPr>
              <w:contextualSpacing/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 xml:space="preserve">Прочие вопросы, анализ с точки зрения потенциальных обязательств 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675" w:type="dxa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9</w:t>
            </w:r>
            <w:r w:rsidR="00515DAA" w:rsidRPr="003D1565">
              <w:rPr>
                <w:color w:val="000000"/>
                <w:sz w:val="20"/>
                <w:lang w:eastAsia="en-US"/>
              </w:rPr>
              <w:t>.1</w:t>
            </w:r>
          </w:p>
        </w:tc>
        <w:tc>
          <w:tcPr>
            <w:tcW w:w="396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Прочие вопросы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наличия у Компании потенциальных обязательств по закупкам и реализации товаров и услуг капитального характера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675" w:type="dxa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9</w:t>
            </w:r>
            <w:r w:rsidR="00515DAA" w:rsidRPr="003D1565">
              <w:rPr>
                <w:color w:val="000000"/>
                <w:sz w:val="20"/>
                <w:lang w:eastAsia="en-US"/>
              </w:rPr>
              <w:t>.2</w:t>
            </w:r>
          </w:p>
        </w:tc>
        <w:tc>
          <w:tcPr>
            <w:tcW w:w="396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Прочие вопросы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протоколов заседаний совета директоров Компании, на предмет наличия потенциальных обязательств, не отраженных в финансовой отчетности Компании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675" w:type="dxa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9</w:t>
            </w:r>
            <w:r w:rsidR="00515DAA" w:rsidRPr="003D1565">
              <w:rPr>
                <w:color w:val="000000"/>
                <w:sz w:val="20"/>
                <w:lang w:eastAsia="en-US"/>
              </w:rPr>
              <w:t>.3</w:t>
            </w:r>
          </w:p>
        </w:tc>
        <w:tc>
          <w:tcPr>
            <w:tcW w:w="396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Прочие вопросы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социальных обязательств Компании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675" w:type="dxa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9</w:t>
            </w:r>
            <w:r w:rsidR="00515DAA" w:rsidRPr="003D1565">
              <w:rPr>
                <w:color w:val="000000"/>
                <w:sz w:val="20"/>
                <w:lang w:eastAsia="en-US"/>
              </w:rPr>
              <w:t>.4</w:t>
            </w:r>
          </w:p>
        </w:tc>
        <w:tc>
          <w:tcPr>
            <w:tcW w:w="396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Прочие вопросы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условных обязательств Компании.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675" w:type="dxa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9</w:t>
            </w:r>
            <w:r w:rsidR="00515DAA" w:rsidRPr="003D1565">
              <w:rPr>
                <w:color w:val="000000"/>
                <w:sz w:val="20"/>
                <w:lang w:eastAsia="en-US"/>
              </w:rPr>
              <w:t>.5</w:t>
            </w:r>
          </w:p>
        </w:tc>
        <w:tc>
          <w:tcPr>
            <w:tcW w:w="396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Прочие вопросы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действующих договоров залога, гарантии и поручительства Компании по обязательствам третьих лиц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675" w:type="dxa"/>
          </w:tcPr>
          <w:p w:rsidR="00515DAA" w:rsidRPr="003D1565" w:rsidRDefault="005A4710" w:rsidP="005A4710">
            <w:pPr>
              <w:jc w:val="both"/>
              <w:rPr>
                <w:color w:val="000000"/>
                <w:sz w:val="20"/>
                <w:lang w:val="en-US" w:eastAsia="en-US"/>
              </w:rPr>
            </w:pPr>
            <w:r>
              <w:rPr>
                <w:color w:val="000000"/>
                <w:sz w:val="20"/>
                <w:lang w:eastAsia="en-US"/>
              </w:rPr>
              <w:t>9</w:t>
            </w:r>
            <w:r w:rsidR="00515DAA" w:rsidRPr="003D1565">
              <w:rPr>
                <w:color w:val="000000"/>
                <w:sz w:val="20"/>
                <w:lang w:eastAsia="en-US"/>
              </w:rPr>
              <w:t>.</w:t>
            </w:r>
            <w:r w:rsidR="00515DAA" w:rsidRPr="003D1565">
              <w:rPr>
                <w:color w:val="000000"/>
                <w:sz w:val="20"/>
                <w:lang w:val="en-US" w:eastAsia="en-US"/>
              </w:rPr>
              <w:t>6</w:t>
            </w:r>
          </w:p>
        </w:tc>
        <w:tc>
          <w:tcPr>
            <w:tcW w:w="396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Прочие вопросы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текущих судебных разбирательств Компании (в том числе с потребителями услуг, а также смежными сетевыми организациями)</w:t>
            </w:r>
          </w:p>
        </w:tc>
      </w:tr>
      <w:tr w:rsidR="00515DAA" w:rsidRPr="003D1565" w:rsidTr="006E0961">
        <w:trPr>
          <w:cantSplit/>
          <w:jc w:val="center"/>
        </w:trPr>
        <w:tc>
          <w:tcPr>
            <w:tcW w:w="675" w:type="dxa"/>
          </w:tcPr>
          <w:p w:rsidR="00515DAA" w:rsidRPr="003D1565" w:rsidRDefault="005A4710" w:rsidP="006E0961">
            <w:pPr>
              <w:jc w:val="both"/>
              <w:rPr>
                <w:color w:val="000000"/>
                <w:sz w:val="20"/>
                <w:lang w:val="en-US" w:eastAsia="en-US"/>
              </w:rPr>
            </w:pPr>
            <w:r>
              <w:rPr>
                <w:color w:val="000000"/>
                <w:sz w:val="20"/>
                <w:lang w:eastAsia="en-US"/>
              </w:rPr>
              <w:t>9</w:t>
            </w:r>
            <w:r w:rsidR="00515DAA" w:rsidRPr="003D1565">
              <w:rPr>
                <w:color w:val="000000"/>
                <w:sz w:val="20"/>
                <w:lang w:eastAsia="en-US"/>
              </w:rPr>
              <w:t>.</w:t>
            </w:r>
            <w:r w:rsidR="00515DAA" w:rsidRPr="003D1565">
              <w:rPr>
                <w:color w:val="000000"/>
                <w:sz w:val="20"/>
                <w:lang w:val="en-US" w:eastAsia="en-US"/>
              </w:rPr>
              <w:t>7</w:t>
            </w:r>
          </w:p>
        </w:tc>
        <w:tc>
          <w:tcPr>
            <w:tcW w:w="3969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Прочие вопросы</w:t>
            </w:r>
          </w:p>
        </w:tc>
        <w:tc>
          <w:tcPr>
            <w:tcW w:w="5137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Комментарии в отношении существенных долгосрочных и обременительных договоров с третьими лицами</w:t>
            </w:r>
          </w:p>
        </w:tc>
      </w:tr>
    </w:tbl>
    <w:p w:rsidR="00515DAA" w:rsidRPr="00AB234A" w:rsidRDefault="00515DAA" w:rsidP="00AB234A">
      <w:pPr>
        <w:pStyle w:val="a4"/>
        <w:numPr>
          <w:ilvl w:val="0"/>
          <w:numId w:val="23"/>
        </w:numPr>
        <w:spacing w:before="120" w:after="120"/>
        <w:rPr>
          <w:rFonts w:ascii="Times New Roman" w:hAnsi="Times New Roman"/>
          <w:b/>
          <w:sz w:val="24"/>
          <w:szCs w:val="24"/>
        </w:rPr>
      </w:pPr>
      <w:r w:rsidRPr="00AB234A">
        <w:rPr>
          <w:rFonts w:ascii="Times New Roman" w:hAnsi="Times New Roman"/>
          <w:b/>
          <w:sz w:val="24"/>
          <w:szCs w:val="24"/>
        </w:rPr>
        <w:t>Юридическая экспертиза:</w:t>
      </w:r>
    </w:p>
    <w:p w:rsidR="00515DAA" w:rsidRPr="003D1565" w:rsidRDefault="00515DAA" w:rsidP="00515DAA">
      <w:pPr>
        <w:widowControl w:val="0"/>
        <w:tabs>
          <w:tab w:val="left" w:pos="709"/>
        </w:tabs>
        <w:spacing w:before="120" w:after="120"/>
        <w:ind w:firstLine="709"/>
        <w:jc w:val="both"/>
        <w:rPr>
          <w:rFonts w:eastAsia="Calibri"/>
          <w:b/>
          <w:color w:val="000000"/>
          <w:szCs w:val="24"/>
          <w:lang w:eastAsia="en-US"/>
        </w:rPr>
      </w:pPr>
      <w:r w:rsidRPr="003D1565">
        <w:rPr>
          <w:rFonts w:eastAsia="Calibri"/>
          <w:b/>
          <w:color w:val="000000"/>
          <w:szCs w:val="24"/>
          <w:lang w:eastAsia="en-US"/>
        </w:rPr>
        <w:t>Период юридической экспертизы:</w:t>
      </w:r>
    </w:p>
    <w:p w:rsidR="00EE63D3" w:rsidRPr="003D1565" w:rsidRDefault="007561EE" w:rsidP="00EE63D3">
      <w:pPr>
        <w:widowControl w:val="0"/>
        <w:numPr>
          <w:ilvl w:val="0"/>
          <w:numId w:val="5"/>
        </w:numPr>
        <w:tabs>
          <w:tab w:val="left" w:pos="709"/>
        </w:tabs>
        <w:ind w:left="0" w:firstLine="709"/>
        <w:contextualSpacing/>
        <w:jc w:val="both"/>
        <w:rPr>
          <w:rFonts w:eastAsia="Calibri"/>
          <w:color w:val="000000"/>
          <w:szCs w:val="24"/>
          <w:lang w:eastAsia="en-US"/>
        </w:rPr>
      </w:pPr>
      <w:r w:rsidRPr="003D1565">
        <w:rPr>
          <w:rFonts w:eastAsia="Calibri"/>
          <w:color w:val="000000"/>
          <w:szCs w:val="24"/>
          <w:lang w:eastAsia="en-US"/>
        </w:rPr>
        <w:t>за 201</w:t>
      </w:r>
      <w:r>
        <w:rPr>
          <w:rFonts w:eastAsia="Calibri"/>
          <w:color w:val="000000"/>
          <w:szCs w:val="24"/>
          <w:lang w:eastAsia="en-US"/>
        </w:rPr>
        <w:t xml:space="preserve">6, </w:t>
      </w:r>
      <w:r w:rsidRPr="003D1565">
        <w:rPr>
          <w:rFonts w:eastAsia="Calibri"/>
          <w:color w:val="000000"/>
          <w:szCs w:val="24"/>
          <w:lang w:eastAsia="en-US"/>
        </w:rPr>
        <w:t>201</w:t>
      </w:r>
      <w:r>
        <w:rPr>
          <w:rFonts w:eastAsia="Calibri"/>
          <w:color w:val="000000"/>
          <w:szCs w:val="24"/>
          <w:lang w:eastAsia="en-US"/>
        </w:rPr>
        <w:t xml:space="preserve">7 и </w:t>
      </w:r>
      <w:r w:rsidR="00EE63D3">
        <w:rPr>
          <w:rFonts w:eastAsia="Calibri"/>
          <w:color w:val="000000"/>
          <w:szCs w:val="24"/>
          <w:lang w:eastAsia="en-US"/>
        </w:rPr>
        <w:t>с 1 января 2018 по 22 октября 2018</w:t>
      </w:r>
      <w:r w:rsidR="00DF4A54">
        <w:rPr>
          <w:rFonts w:eastAsia="Calibri"/>
          <w:color w:val="000000"/>
          <w:szCs w:val="24"/>
          <w:lang w:eastAsia="en-US"/>
        </w:rPr>
        <w:t>г</w:t>
      </w:r>
      <w:r w:rsidR="00EE63D3">
        <w:rPr>
          <w:rFonts w:eastAsia="Calibri"/>
          <w:color w:val="000000"/>
          <w:szCs w:val="24"/>
          <w:lang w:eastAsia="en-US"/>
        </w:rPr>
        <w:t>.</w:t>
      </w:r>
    </w:p>
    <w:p w:rsidR="00515DAA" w:rsidRPr="003D1565" w:rsidRDefault="00515DAA" w:rsidP="00515DAA">
      <w:pPr>
        <w:widowControl w:val="0"/>
        <w:numPr>
          <w:ilvl w:val="0"/>
          <w:numId w:val="5"/>
        </w:numPr>
        <w:tabs>
          <w:tab w:val="left" w:pos="709"/>
        </w:tabs>
        <w:ind w:left="0" w:firstLine="709"/>
        <w:contextualSpacing/>
        <w:jc w:val="both"/>
        <w:rPr>
          <w:rFonts w:eastAsia="Calibri"/>
          <w:color w:val="000000"/>
          <w:szCs w:val="24"/>
          <w:lang w:eastAsia="en-US"/>
        </w:rPr>
      </w:pPr>
      <w:r w:rsidRPr="003D1565">
        <w:rPr>
          <w:rFonts w:eastAsia="Calibri"/>
          <w:color w:val="000000"/>
          <w:szCs w:val="24"/>
          <w:lang w:eastAsia="en-US"/>
        </w:rPr>
        <w:t>Вопросы создания, оплаты уставного капитала и последнего перехода прав на акции мажоритарного акционера анализируются вне зависимости от времени, когда такие факты имели место.</w:t>
      </w:r>
    </w:p>
    <w:p w:rsidR="00515DAA" w:rsidRPr="003D1565" w:rsidRDefault="00515DAA" w:rsidP="00515DAA">
      <w:pPr>
        <w:widowControl w:val="0"/>
        <w:tabs>
          <w:tab w:val="left" w:pos="709"/>
        </w:tabs>
        <w:spacing w:before="120" w:after="120"/>
        <w:ind w:firstLine="709"/>
        <w:jc w:val="both"/>
        <w:rPr>
          <w:rFonts w:eastAsia="Calibri"/>
          <w:b/>
          <w:color w:val="000000"/>
          <w:szCs w:val="24"/>
          <w:lang w:eastAsia="en-US"/>
        </w:rPr>
      </w:pPr>
      <w:r w:rsidRPr="003D1565">
        <w:rPr>
          <w:rFonts w:eastAsia="Calibri"/>
          <w:b/>
          <w:color w:val="000000"/>
          <w:szCs w:val="24"/>
          <w:lang w:eastAsia="en-US"/>
        </w:rPr>
        <w:t>Процедуры юридической экспертизы:</w:t>
      </w:r>
    </w:p>
    <w:tbl>
      <w:tblPr>
        <w:tblW w:w="9781" w:type="dxa"/>
        <w:tblBorders>
          <w:top w:val="single" w:sz="4" w:space="0" w:color="7F7E82"/>
          <w:bottom w:val="single" w:sz="4" w:space="0" w:color="7F7E82"/>
          <w:insideH w:val="single" w:sz="4" w:space="0" w:color="7F7E82"/>
          <w:insideV w:val="single" w:sz="4" w:space="0" w:color="7F7E82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"/>
        <w:gridCol w:w="2772"/>
        <w:gridCol w:w="6271"/>
      </w:tblGrid>
      <w:tr w:rsidR="00515DAA" w:rsidRPr="003D1565" w:rsidTr="006E0961">
        <w:trPr>
          <w:cantSplit/>
        </w:trPr>
        <w:tc>
          <w:tcPr>
            <w:tcW w:w="9781" w:type="dxa"/>
            <w:gridSpan w:val="4"/>
          </w:tcPr>
          <w:p w:rsidR="00515DAA" w:rsidRPr="003D1565" w:rsidRDefault="00515DAA" w:rsidP="006E0961">
            <w:pPr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1.</w:t>
            </w:r>
            <w:r w:rsidRPr="003D1565">
              <w:rPr>
                <w:b/>
                <w:color w:val="000000"/>
                <w:sz w:val="20"/>
                <w:lang w:eastAsia="en-US"/>
              </w:rPr>
              <w:tab/>
              <w:t>Статус юридического лица</w:t>
            </w:r>
          </w:p>
        </w:tc>
      </w:tr>
      <w:tr w:rsidR="00515DAA" w:rsidRPr="003D1565" w:rsidTr="006E0961">
        <w:trPr>
          <w:cantSplit/>
        </w:trPr>
        <w:tc>
          <w:tcPr>
            <w:tcW w:w="738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1.1</w:t>
            </w:r>
          </w:p>
        </w:tc>
        <w:tc>
          <w:tcPr>
            <w:tcW w:w="2772" w:type="dxa"/>
            <w:vMerge w:val="restart"/>
            <w:vAlign w:val="center"/>
          </w:tcPr>
          <w:p w:rsidR="00515DAA" w:rsidRPr="003D1565" w:rsidRDefault="00515DAA" w:rsidP="006E0961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Подтверждение надлежащего создания и текущего правового статуса Объекта</w:t>
            </w: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Проверка факта учреждения 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 и его государственной регистрации в качестве юридического лица, краткое описание истории создания Компании;</w:t>
            </w:r>
          </w:p>
        </w:tc>
      </w:tr>
      <w:tr w:rsidR="00515DAA" w:rsidRPr="003D1565" w:rsidTr="006E0961">
        <w:trPr>
          <w:cantSplit/>
        </w:trPr>
        <w:tc>
          <w:tcPr>
            <w:tcW w:w="738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1.2</w:t>
            </w:r>
          </w:p>
        </w:tc>
        <w:tc>
          <w:tcPr>
            <w:tcW w:w="2772" w:type="dxa"/>
            <w:vMerge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Проверка факта надлежащей оплаты первоначального уставного капитала, определение действительного раз</w:t>
            </w:r>
            <w:r>
              <w:rPr>
                <w:color w:val="000000"/>
                <w:sz w:val="20"/>
                <w:lang w:eastAsia="en-US"/>
              </w:rPr>
              <w:t xml:space="preserve">мера уставного капитала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», а также описание имевших место за последние три года, предшествующих Дате проведения юридической экспертизы, фактов увеличения/уменьшения их уставного капитала. Анализ законности эмиссии акций и подтверждение возможности их оборота;</w:t>
            </w:r>
          </w:p>
        </w:tc>
      </w:tr>
      <w:tr w:rsidR="00515DAA" w:rsidRPr="003D1565" w:rsidTr="006E0961">
        <w:trPr>
          <w:cantSplit/>
        </w:trPr>
        <w:tc>
          <w:tcPr>
            <w:tcW w:w="738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1.3</w:t>
            </w:r>
          </w:p>
        </w:tc>
        <w:tc>
          <w:tcPr>
            <w:tcW w:w="2772" w:type="dxa"/>
            <w:vMerge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Определение и анализ дейс</w:t>
            </w:r>
            <w:r>
              <w:rPr>
                <w:color w:val="000000"/>
                <w:sz w:val="20"/>
                <w:lang w:eastAsia="en-US"/>
              </w:rPr>
              <w:t xml:space="preserve">твующей редакции устава                                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», а также действующих изменений и дополнений к ней, на предмет соответствия требованиям действующего законодательства;</w:t>
            </w:r>
          </w:p>
        </w:tc>
      </w:tr>
      <w:tr w:rsidR="00515DAA" w:rsidRPr="003D1565" w:rsidTr="006E0961">
        <w:trPr>
          <w:cantSplit/>
        </w:trPr>
        <w:tc>
          <w:tcPr>
            <w:tcW w:w="738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1.4</w:t>
            </w:r>
          </w:p>
        </w:tc>
        <w:tc>
          <w:tcPr>
            <w:tcW w:w="2772" w:type="dxa"/>
            <w:vMerge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Проверка фактов (i) наличия/отсутствия вынесен</w:t>
            </w:r>
            <w:r>
              <w:rPr>
                <w:color w:val="000000"/>
                <w:sz w:val="20"/>
                <w:lang w:eastAsia="en-US"/>
              </w:rPr>
              <w:t xml:space="preserve">ного в отношении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 арбитражным судом определения о признании его несостоятельными (банкротом) и введении в отношении него конкурсного производства, а также (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ii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) наличия/отсутствия принятого и надлежащим образом зарегистрированного в отношении него решения о ликвидации;</w:t>
            </w:r>
          </w:p>
        </w:tc>
      </w:tr>
      <w:tr w:rsidR="00515DAA" w:rsidRPr="003D1565" w:rsidTr="006E0961">
        <w:trPr>
          <w:cantSplit/>
        </w:trPr>
        <w:tc>
          <w:tcPr>
            <w:tcW w:w="738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1.5</w:t>
            </w:r>
          </w:p>
        </w:tc>
        <w:tc>
          <w:tcPr>
            <w:tcW w:w="2772" w:type="dxa"/>
            <w:vMerge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</w:t>
            </w:r>
            <w:r>
              <w:rPr>
                <w:color w:val="000000"/>
                <w:sz w:val="20"/>
                <w:lang w:eastAsia="en-US"/>
              </w:rPr>
              <w:t xml:space="preserve"> размера чистых активов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 в сравнении с размером из уставного капитала на основании данных последней поданной бухгалтерской отчетности, а в случае превышения размера уставного капитала над размером чистых активов – пр</w:t>
            </w:r>
            <w:r>
              <w:rPr>
                <w:color w:val="000000"/>
                <w:sz w:val="20"/>
                <w:lang w:eastAsia="en-US"/>
              </w:rPr>
              <w:t xml:space="preserve">оверка факта совершения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r w:rsidRPr="003D1565">
              <w:rPr>
                <w:color w:val="000000"/>
                <w:sz w:val="20"/>
                <w:lang w:eastAsia="en-US"/>
              </w:rPr>
              <w:t>»обязательных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 xml:space="preserve"> действий, предусмотренных в этом случае применимым законодательством;</w:t>
            </w:r>
          </w:p>
        </w:tc>
      </w:tr>
      <w:tr w:rsidR="00515DAA" w:rsidRPr="003D1565" w:rsidTr="006E0961">
        <w:trPr>
          <w:cantSplit/>
        </w:trPr>
        <w:tc>
          <w:tcPr>
            <w:tcW w:w="9781" w:type="dxa"/>
            <w:gridSpan w:val="4"/>
          </w:tcPr>
          <w:p w:rsidR="00515DAA" w:rsidRPr="003D1565" w:rsidRDefault="00515DAA" w:rsidP="006E0961">
            <w:pPr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2.</w:t>
            </w:r>
            <w:r w:rsidRPr="003D1565">
              <w:rPr>
                <w:b/>
                <w:color w:val="000000"/>
                <w:sz w:val="20"/>
                <w:lang w:eastAsia="en-US"/>
              </w:rPr>
              <w:tab/>
              <w:t>Структура корпоративного управления и владения акциями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2.1</w:t>
            </w:r>
          </w:p>
        </w:tc>
        <w:tc>
          <w:tcPr>
            <w:tcW w:w="9072" w:type="dxa"/>
            <w:gridSpan w:val="3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Описание текущей струк</w:t>
            </w:r>
            <w:r>
              <w:rPr>
                <w:color w:val="000000"/>
                <w:sz w:val="20"/>
                <w:lang w:eastAsia="en-US"/>
              </w:rPr>
              <w:t xml:space="preserve">туры органов управления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», порядка их формирования на основании действующей редакции устава;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2.2</w:t>
            </w:r>
          </w:p>
        </w:tc>
        <w:tc>
          <w:tcPr>
            <w:tcW w:w="9072" w:type="dxa"/>
            <w:gridSpan w:val="3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Подтверждение факта назначения действующего единоличного исполнительного органа, членов совета директоров и коллегиального исполнительного органа;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2.3</w:t>
            </w:r>
          </w:p>
        </w:tc>
        <w:tc>
          <w:tcPr>
            <w:tcW w:w="9072" w:type="dxa"/>
            <w:gridSpan w:val="3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</w:rPr>
              <w:t xml:space="preserve">Подтверждение прав и описание зарегистрированных обременений в отношении акций, принадлежащих лицу, являющемуся основным </w:t>
            </w:r>
            <w:r>
              <w:rPr>
                <w:color w:val="000000"/>
                <w:sz w:val="20"/>
              </w:rPr>
              <w:t xml:space="preserve">мажоритарным акционером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  <w:r w:rsidRPr="003D1565">
              <w:rPr>
                <w:color w:val="000000"/>
                <w:sz w:val="20"/>
              </w:rPr>
              <w:t>на Дату проведения юридической экспертизы;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2.4</w:t>
            </w:r>
          </w:p>
        </w:tc>
        <w:tc>
          <w:tcPr>
            <w:tcW w:w="9072" w:type="dxa"/>
            <w:gridSpan w:val="3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</w:rPr>
              <w:t>Описание действительной на Дату проведения юридической экспертизы структуры акционеров Компании;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2.5</w:t>
            </w:r>
          </w:p>
        </w:tc>
        <w:tc>
          <w:tcPr>
            <w:tcW w:w="9072" w:type="dxa"/>
            <w:gridSpan w:val="3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</w:rPr>
              <w:t>Подтверждение факта надлежащего вед</w:t>
            </w:r>
            <w:r>
              <w:rPr>
                <w:color w:val="000000"/>
                <w:sz w:val="20"/>
              </w:rPr>
              <w:t xml:space="preserve">ения реестра акционеров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</w:t>
            </w:r>
            <w:r w:rsidRPr="003D1565">
              <w:rPr>
                <w:color w:val="000000"/>
                <w:sz w:val="20"/>
              </w:rPr>
              <w:t>. Проверка наличия акционерных соглашений. Описание специальных условий акционерных соглашений, заключ</w:t>
            </w:r>
            <w:r>
              <w:rPr>
                <w:color w:val="000000"/>
                <w:sz w:val="20"/>
              </w:rPr>
              <w:t xml:space="preserve">енных в отношении акций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</w:t>
            </w:r>
            <w:r w:rsidRPr="003D1565">
              <w:rPr>
                <w:color w:val="000000"/>
                <w:sz w:val="20"/>
              </w:rPr>
              <w:t>, предоставляющих миноритарным акционерам специальные правомочия;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</w:rPr>
            </w:pPr>
            <w:r w:rsidRPr="003D1565">
              <w:rPr>
                <w:color w:val="000000"/>
                <w:sz w:val="20"/>
              </w:rPr>
              <w:t>2.6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072" w:type="dxa"/>
            <w:gridSpan w:val="3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</w:rPr>
            </w:pPr>
            <w:r w:rsidRPr="003D1565">
              <w:rPr>
                <w:color w:val="000000"/>
                <w:sz w:val="20"/>
              </w:rPr>
              <w:t>Анализ Годовых отчетов компании с целью выявления значимых фактов финансово-хозяйственной деятельности за последние 3 года</w:t>
            </w:r>
          </w:p>
        </w:tc>
      </w:tr>
      <w:tr w:rsidR="00515DAA" w:rsidRPr="003D1565" w:rsidTr="006E0961">
        <w:trPr>
          <w:cantSplit/>
        </w:trPr>
        <w:tc>
          <w:tcPr>
            <w:tcW w:w="9781" w:type="dxa"/>
            <w:gridSpan w:val="4"/>
          </w:tcPr>
          <w:p w:rsidR="00515DAA" w:rsidRPr="003D1565" w:rsidRDefault="00515DAA" w:rsidP="006E0961">
            <w:pPr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3.</w:t>
            </w:r>
            <w:r w:rsidRPr="003D1565">
              <w:rPr>
                <w:b/>
                <w:color w:val="000000"/>
                <w:sz w:val="20"/>
                <w:lang w:eastAsia="en-US"/>
              </w:rPr>
              <w:tab/>
              <w:t xml:space="preserve">Имущество 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3.1</w:t>
            </w:r>
          </w:p>
        </w:tc>
        <w:tc>
          <w:tcPr>
            <w:tcW w:w="2801" w:type="dxa"/>
            <w:gridSpan w:val="2"/>
            <w:vMerge w:val="restart"/>
            <w:vAlign w:val="center"/>
          </w:tcPr>
          <w:p w:rsidR="00515DAA" w:rsidRPr="003D1565" w:rsidRDefault="00515DAA" w:rsidP="006E0961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Проверка чистоты приобретения/отчуждения права собственности, права аренды и иных прав (в том числе права пользования) на объекты недвижимости, включая земельные участки – в отношении не более 100 объектов недвижимости по выбору заказчика (30 объектов в собственности и 70 в аренде).</w:t>
            </w:r>
          </w:p>
          <w:p w:rsidR="00515DAA" w:rsidRPr="003D1565" w:rsidRDefault="00515DAA" w:rsidP="006E0961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Оценка рисков, связанных с возможным оспариванием прав Общества на объекты недвижимости, выявление обременений прав</w:t>
            </w:r>
          </w:p>
          <w:p w:rsidR="00515DAA" w:rsidRPr="003D1565" w:rsidRDefault="00515DAA" w:rsidP="006E0961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наличия разрешительной документации на строительство основных электросетевых объектов (в отношении не более 30 не завершенных строительством объектов)</w:t>
            </w: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Систематизация списка зарегистрированного недвижимого имущества Компании, принадлежащего ей на праве собственности или ином праве с указанием балансодержателей;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3.2</w:t>
            </w:r>
          </w:p>
        </w:tc>
        <w:tc>
          <w:tcPr>
            <w:tcW w:w="2801" w:type="dxa"/>
            <w:gridSpan w:val="2"/>
            <w:vMerge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Анализ правоустанавливающих документов, подтверждающих наличие прав Компании на недвижимое имущество (свидетельства о регистрации, договоры, акты приема-передачи), анализ правоустанавливающих документов на земельные участки под этими объектами; 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3.3</w:t>
            </w:r>
          </w:p>
        </w:tc>
        <w:tc>
          <w:tcPr>
            <w:tcW w:w="2801" w:type="dxa"/>
            <w:gridSpan w:val="2"/>
            <w:vMerge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Обзор зарегистрированных обременений и прав третьих лиц в отношении указанных выше объектов недвижимого имущества Компании;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3.4</w:t>
            </w:r>
          </w:p>
        </w:tc>
        <w:tc>
          <w:tcPr>
            <w:tcW w:w="2801" w:type="dxa"/>
            <w:gridSpan w:val="2"/>
            <w:vMerge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В отношении объектов недвижимого имущества, переданных Компании по договорам аренды – анализ договоров аренды с указанием сторон, срока действия, возможности расторжения или перезаключения на иных условиях, актов приема-передачи, свидетельств о регистрации договоров аренды (если применимо);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val="en-US"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3</w:t>
            </w:r>
            <w:r w:rsidRPr="003D1565">
              <w:rPr>
                <w:color w:val="000000"/>
                <w:sz w:val="20"/>
                <w:lang w:val="en-US" w:eastAsia="en-US"/>
              </w:rPr>
              <w:t>.5</w:t>
            </w:r>
          </w:p>
        </w:tc>
        <w:tc>
          <w:tcPr>
            <w:tcW w:w="2801" w:type="dxa"/>
            <w:gridSpan w:val="2"/>
            <w:vMerge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Выявление факта наличия объектов, которые обладают признаками недвижимого имущества, но права на которые не зарегистрированы в установленном порядке, и описание основных видов таких объектов;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3</w:t>
            </w:r>
            <w:r w:rsidRPr="003D1565">
              <w:rPr>
                <w:color w:val="000000"/>
                <w:sz w:val="20"/>
                <w:lang w:val="en-US" w:eastAsia="en-US"/>
              </w:rPr>
              <w:t>.</w:t>
            </w:r>
            <w:r w:rsidRPr="003D1565">
              <w:rPr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2801" w:type="dxa"/>
            <w:gridSpan w:val="2"/>
            <w:vMerge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В отношении наиболее существенных строящихся объектов: 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Проверка факта наличия разрешения на строительство в отношении строящихся объектов, анализ договоров подряда;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 xml:space="preserve">Проверка прав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  <w:r w:rsidRPr="003D1565">
              <w:rPr>
                <w:color w:val="000000"/>
                <w:sz w:val="20"/>
                <w:lang w:eastAsia="en-US"/>
              </w:rPr>
              <w:t>на земельные участки, на которых расположены вышеуказанные наиболее существенные объекты.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3</w:t>
            </w:r>
            <w:r w:rsidRPr="003D1565">
              <w:rPr>
                <w:color w:val="000000"/>
                <w:sz w:val="20"/>
                <w:lang w:val="en-US" w:eastAsia="en-US"/>
              </w:rPr>
              <w:t>.</w:t>
            </w:r>
            <w:r w:rsidRPr="003D1565">
              <w:rPr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2801" w:type="dxa"/>
            <w:gridSpan w:val="2"/>
            <w:vMerge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Выявление рисков утраты Компанией права собственности или иных прав на недвижимое имущество, включая риски признания объектов самовольно построенными.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3.8</w:t>
            </w:r>
          </w:p>
        </w:tc>
        <w:tc>
          <w:tcPr>
            <w:tcW w:w="2801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исполнения компанией обязательств по установлению охранных зон объектов электросетевого хозяйства</w:t>
            </w: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Проверка объемов работ, выполняемых Компанией по установлению охранных зон объектов электросетевого хозяйства на предмет выполнения установленных законодательством сроков.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3.9</w:t>
            </w:r>
          </w:p>
        </w:tc>
        <w:tc>
          <w:tcPr>
            <w:tcW w:w="2801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Анализ прав и основных рисков в отношении объектов интеллектуальной собственности (в отношении не более всего 30 объектов интеллектуальной собственности любой категории) </w:t>
            </w: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надлежащего оформления прав и выявление основных юридических рисков, связанных с недостатками оформления исключительных прав, либо незаконным использованием 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  <w:r w:rsidRPr="003D1565">
              <w:rPr>
                <w:color w:val="000000"/>
                <w:sz w:val="20"/>
                <w:lang w:eastAsia="en-US"/>
              </w:rPr>
              <w:t>результатов интеллектуальной деятельности третьих лиц (на основании анализа не более 10 примеров использования Объектом различных объектов интеллектуальной собственности), включая: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- программы для ЭВМ,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- дизайн (оформление) и содержание сайта, а также права на доменное имя, не являющееся объектом ИС,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- товарные знаки,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- патенты, 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- ноу-хау (анализ будет проведен в отношении политики о ноу-хау, если такая имеется),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- проектные документации.</w:t>
            </w:r>
          </w:p>
        </w:tc>
      </w:tr>
      <w:tr w:rsidR="00515DAA" w:rsidRPr="003D1565" w:rsidTr="006E0961">
        <w:trPr>
          <w:cantSplit/>
        </w:trPr>
        <w:tc>
          <w:tcPr>
            <w:tcW w:w="9781" w:type="dxa"/>
            <w:gridSpan w:val="4"/>
          </w:tcPr>
          <w:p w:rsidR="00515DAA" w:rsidRPr="003D1565" w:rsidRDefault="00515DAA" w:rsidP="006E0961">
            <w:pPr>
              <w:keepNext/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4.</w:t>
            </w:r>
            <w:r w:rsidRPr="003D1565">
              <w:rPr>
                <w:b/>
                <w:color w:val="000000"/>
                <w:sz w:val="20"/>
                <w:lang w:eastAsia="en-US"/>
              </w:rPr>
              <w:tab/>
              <w:t>Трудовые вопросы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4.1</w:t>
            </w:r>
          </w:p>
        </w:tc>
        <w:tc>
          <w:tcPr>
            <w:tcW w:w="2801" w:type="dxa"/>
            <w:gridSpan w:val="2"/>
            <w:vMerge w:val="restart"/>
          </w:tcPr>
          <w:p w:rsidR="00515DAA" w:rsidRPr="003D1565" w:rsidRDefault="00515DAA" w:rsidP="006E0961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Проверка соблюдения Обществом трудового законодательства и выявление золотых парашютов и условий, которые могут повлечь существенное увеличение фонда оплаты труда</w:t>
            </w: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договоров с ключевыми менеджерами Компаний, в том числе на предмет наличия в них специальных условий в случае увольнения или опционных соглашений.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4.2</w:t>
            </w:r>
          </w:p>
        </w:tc>
        <w:tc>
          <w:tcPr>
            <w:tcW w:w="2801" w:type="dxa"/>
            <w:gridSpan w:val="2"/>
            <w:vMerge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заключенного коллективного договора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4.3</w:t>
            </w:r>
          </w:p>
        </w:tc>
        <w:tc>
          <w:tcPr>
            <w:tcW w:w="2801" w:type="dxa"/>
            <w:gridSpan w:val="2"/>
            <w:vMerge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правил внутреннего трудового распорядка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4.4</w:t>
            </w:r>
          </w:p>
        </w:tc>
        <w:tc>
          <w:tcPr>
            <w:tcW w:w="2801" w:type="dxa"/>
            <w:gridSpan w:val="2"/>
            <w:vMerge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правил премирования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4.5</w:t>
            </w:r>
          </w:p>
        </w:tc>
        <w:tc>
          <w:tcPr>
            <w:tcW w:w="2801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текущих индивидуальных и коллективных трудовых споров на предмет их влияния на деятельность Компании на основании сведений, предоставленных Компанией.</w:t>
            </w:r>
          </w:p>
        </w:tc>
      </w:tr>
      <w:tr w:rsidR="00515DAA" w:rsidRPr="003D1565" w:rsidTr="006E0961">
        <w:trPr>
          <w:cantSplit/>
        </w:trPr>
        <w:tc>
          <w:tcPr>
            <w:tcW w:w="9781" w:type="dxa"/>
            <w:gridSpan w:val="4"/>
          </w:tcPr>
          <w:p w:rsidR="00515DAA" w:rsidRPr="003D1565" w:rsidRDefault="00515DAA" w:rsidP="006E0961">
            <w:pPr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5.</w:t>
            </w:r>
            <w:r w:rsidRPr="003D1565">
              <w:rPr>
                <w:b/>
                <w:color w:val="000000"/>
                <w:sz w:val="20"/>
                <w:lang w:eastAsia="en-US"/>
              </w:rPr>
              <w:tab/>
              <w:t>Соответствие требованиям законодательства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5.1</w:t>
            </w:r>
          </w:p>
        </w:tc>
        <w:tc>
          <w:tcPr>
            <w:tcW w:w="9072" w:type="dxa"/>
            <w:gridSpan w:val="3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 xml:space="preserve">Проверка наличия у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  <w:r w:rsidRPr="003D1565">
              <w:rPr>
                <w:color w:val="000000"/>
                <w:sz w:val="20"/>
                <w:lang w:eastAsia="en-US"/>
              </w:rPr>
              <w:t>необходимых лицензий, разрешений, согласований и заключений в отношении осуществляемой Объектом деятельности на основании анализа акто</w:t>
            </w:r>
            <w:r>
              <w:rPr>
                <w:color w:val="000000"/>
                <w:sz w:val="20"/>
                <w:lang w:eastAsia="en-US"/>
              </w:rPr>
              <w:t xml:space="preserve">в проверок деятельности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  <w:r w:rsidRPr="003D1565">
              <w:rPr>
                <w:color w:val="000000"/>
                <w:sz w:val="20"/>
                <w:lang w:eastAsia="en-US"/>
              </w:rPr>
              <w:t>контролирующими органами, документов, свидетель</w:t>
            </w:r>
            <w:r>
              <w:rPr>
                <w:color w:val="000000"/>
                <w:sz w:val="20"/>
                <w:lang w:eastAsia="en-US"/>
              </w:rPr>
              <w:t xml:space="preserve">ствующих от привлечении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  <w:r w:rsidRPr="003D1565">
              <w:rPr>
                <w:color w:val="000000"/>
                <w:sz w:val="20"/>
                <w:lang w:eastAsia="en-US"/>
              </w:rPr>
              <w:t>к административной ответственности за нарушение требований применимого законодательства, лицензионных требований (если применимо) за последний год;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5.2</w:t>
            </w:r>
          </w:p>
        </w:tc>
        <w:tc>
          <w:tcPr>
            <w:tcW w:w="9072" w:type="dxa"/>
            <w:gridSpan w:val="3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 xml:space="preserve">Анализ переписки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  <w:r w:rsidRPr="003D1565">
              <w:rPr>
                <w:color w:val="000000"/>
                <w:sz w:val="20"/>
                <w:lang w:eastAsia="en-US"/>
              </w:rPr>
              <w:t>с контролирующими\лицензирующими органа</w:t>
            </w:r>
            <w:r>
              <w:rPr>
                <w:color w:val="000000"/>
                <w:sz w:val="20"/>
                <w:lang w:eastAsia="en-US"/>
              </w:rPr>
              <w:t xml:space="preserve">ми по итогам устранения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  <w:r w:rsidRPr="003D1565">
              <w:rPr>
                <w:color w:val="000000"/>
                <w:sz w:val="20"/>
                <w:lang w:eastAsia="en-US"/>
              </w:rPr>
              <w:t>выявленных в ходе проверок нарушений;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5.3</w:t>
            </w:r>
          </w:p>
        </w:tc>
        <w:tc>
          <w:tcPr>
            <w:tcW w:w="9072" w:type="dxa"/>
            <w:gridSpan w:val="3"/>
          </w:tcPr>
          <w:p w:rsidR="00515DAA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уведомлений, предписаний и согласований антимонопольных органов России, полученных Компанией за последний год (при наличии);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515DAA" w:rsidRPr="003D1565" w:rsidTr="006E0961">
        <w:trPr>
          <w:cantSplit/>
        </w:trPr>
        <w:tc>
          <w:tcPr>
            <w:tcW w:w="9781" w:type="dxa"/>
            <w:gridSpan w:val="4"/>
          </w:tcPr>
          <w:p w:rsidR="00515DAA" w:rsidRDefault="00515DAA" w:rsidP="006E0961">
            <w:pPr>
              <w:keepNext/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6.</w:t>
            </w:r>
            <w:r w:rsidRPr="003D1565">
              <w:rPr>
                <w:b/>
                <w:color w:val="000000"/>
                <w:sz w:val="20"/>
                <w:lang w:eastAsia="en-US"/>
              </w:rPr>
              <w:tab/>
              <w:t xml:space="preserve">Договорные обязательства </w:t>
            </w:r>
            <w:r w:rsidRPr="003D1565">
              <w:rPr>
                <w:color w:val="000000"/>
                <w:sz w:val="20"/>
                <w:lang w:eastAsia="en-US"/>
              </w:rPr>
              <w:t>(анализ ключевых договоров)</w:t>
            </w:r>
          </w:p>
          <w:p w:rsidR="00515DAA" w:rsidRPr="003D1565" w:rsidRDefault="00515DAA" w:rsidP="006E0961">
            <w:pPr>
              <w:keepNext/>
              <w:jc w:val="both"/>
              <w:rPr>
                <w:b/>
                <w:color w:val="000000"/>
                <w:sz w:val="20"/>
                <w:lang w:eastAsia="en-US"/>
              </w:rPr>
            </w:pPr>
          </w:p>
        </w:tc>
      </w:tr>
      <w:tr w:rsidR="00515DAA" w:rsidRPr="003D1565" w:rsidTr="006E0961">
        <w:trPr>
          <w:cantSplit/>
        </w:trPr>
        <w:tc>
          <w:tcPr>
            <w:tcW w:w="738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6.1</w:t>
            </w:r>
          </w:p>
        </w:tc>
        <w:tc>
          <w:tcPr>
            <w:tcW w:w="2772" w:type="dxa"/>
            <w:vMerge w:val="restart"/>
            <w:vAlign w:val="center"/>
          </w:tcPr>
          <w:p w:rsidR="00515DAA" w:rsidRPr="003D1565" w:rsidRDefault="00515DAA" w:rsidP="006E0961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Анализ условий договоров с основными кредиторами на предмет соблюдения финансовых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ковенант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 xml:space="preserve"> и наличия положений о смене контроля и выявление риска досрочного предъявления кредиторами требований о досрочном исполнении обязательств</w:t>
            </w:r>
          </w:p>
          <w:p w:rsidR="00515DAA" w:rsidRPr="003D1565" w:rsidRDefault="00515DAA" w:rsidP="006E0961">
            <w:pPr>
              <w:jc w:val="center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Анализ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инвестпрограммы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 xml:space="preserve"> и статус ее выполнения</w:t>
            </w: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основных действующих</w:t>
            </w:r>
            <w:r>
              <w:rPr>
                <w:color w:val="000000"/>
                <w:sz w:val="20"/>
                <w:lang w:eastAsia="en-US"/>
              </w:rPr>
              <w:t xml:space="preserve"> договоров, заключенных                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  <w:r w:rsidRPr="003D1565">
              <w:rPr>
                <w:color w:val="000000"/>
                <w:sz w:val="20"/>
                <w:lang w:eastAsia="en-US"/>
              </w:rPr>
              <w:t xml:space="preserve">при осуществлении основной хозяйственной деятельности (от 20 до 30 наиболее крупных по стоимости) на предмет наличия зависимости от состава акционеров, в том числе, на предмет соблюдения финансовых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ковенант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 xml:space="preserve"> (применительно к кредитным договорам и договорам займа) и наличия положений о смене контроля, выявление риска досрочного предъявления кредиторами требований о досрочном исполнении обязательств, в частности: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−типовых договоров оказания услуг по передаче электроэнергии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−типовых договоров оказания услуг по техническому присоединению потребителей к сетям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−кредитных договоров, дог</w:t>
            </w:r>
            <w:r>
              <w:rPr>
                <w:color w:val="000000"/>
                <w:sz w:val="20"/>
                <w:lang w:eastAsia="en-US"/>
              </w:rPr>
              <w:t xml:space="preserve">оворов займа, в которых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  <w:r w:rsidRPr="003D1565">
              <w:rPr>
                <w:color w:val="000000"/>
                <w:sz w:val="20"/>
                <w:lang w:eastAsia="en-US"/>
              </w:rPr>
              <w:t>выступает в качестве заемщика или займодавца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−гарантий, поручительств, залогов или иных долговы</w:t>
            </w:r>
            <w:r>
              <w:rPr>
                <w:color w:val="000000"/>
                <w:sz w:val="20"/>
                <w:lang w:eastAsia="en-US"/>
              </w:rPr>
              <w:t xml:space="preserve">х обязательств, выданных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 (в том числе за третьих лиц)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−договоров о совместной деятельности (простого товарищества)</w:t>
            </w:r>
          </w:p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−договоров оказания услуг по обслуживанию им</w:t>
            </w:r>
            <w:r>
              <w:rPr>
                <w:color w:val="000000"/>
                <w:sz w:val="20"/>
                <w:lang w:eastAsia="en-US"/>
              </w:rPr>
              <w:t xml:space="preserve">ущества, принадлежащего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»;</w:t>
            </w:r>
          </w:p>
        </w:tc>
      </w:tr>
      <w:tr w:rsidR="00515DAA" w:rsidRPr="003D1565" w:rsidTr="006E0961">
        <w:trPr>
          <w:cantSplit/>
        </w:trPr>
        <w:tc>
          <w:tcPr>
            <w:tcW w:w="738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6.2</w:t>
            </w:r>
          </w:p>
        </w:tc>
        <w:tc>
          <w:tcPr>
            <w:tcW w:w="2772" w:type="dxa"/>
            <w:vMerge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Проверка надлежащего одобрения органами управления Объектом основных действующих договоров (из числа подлежащих анализу в рамках п.6.1 выше) в качестве крупных сделок, сделок с заинтересованностью</w:t>
            </w:r>
          </w:p>
        </w:tc>
      </w:tr>
      <w:tr w:rsidR="00515DAA" w:rsidRPr="003D1565" w:rsidTr="006E0961">
        <w:trPr>
          <w:cantSplit/>
        </w:trPr>
        <w:tc>
          <w:tcPr>
            <w:tcW w:w="738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6.3</w:t>
            </w:r>
          </w:p>
        </w:tc>
        <w:tc>
          <w:tcPr>
            <w:tcW w:w="2772" w:type="dxa"/>
            <w:vMerge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наличия выпущенных Объектом векселей и иных долговых ценных бумаг (от 20 до 30 наиболее крупных по стоимости), по которым на дату проверки существуют неисполненные существенные финансовые обязательства (на сумму свыше 5 млн руб.)</w:t>
            </w:r>
          </w:p>
        </w:tc>
      </w:tr>
      <w:tr w:rsidR="00515DAA" w:rsidRPr="003D1565" w:rsidTr="006E0961">
        <w:trPr>
          <w:cantSplit/>
        </w:trPr>
        <w:tc>
          <w:tcPr>
            <w:tcW w:w="738" w:type="dxa"/>
            <w:gridSpan w:val="2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6.4</w:t>
            </w:r>
          </w:p>
        </w:tc>
        <w:tc>
          <w:tcPr>
            <w:tcW w:w="2772" w:type="dxa"/>
            <w:vMerge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val="en-US" w:eastAsia="en-US"/>
              </w:rPr>
            </w:pPr>
          </w:p>
        </w:tc>
        <w:tc>
          <w:tcPr>
            <w:tcW w:w="6271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Анализ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инвестпрограммы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 xml:space="preserve"> и статус ее выполнения (проверка факта завершения строительством соответствующих объектов и наличие контрактов на создание предусмотренных </w:t>
            </w:r>
            <w:proofErr w:type="spellStart"/>
            <w:r w:rsidRPr="003D1565">
              <w:rPr>
                <w:color w:val="000000"/>
                <w:sz w:val="20"/>
                <w:lang w:eastAsia="en-US"/>
              </w:rPr>
              <w:t>инвестпрограммой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 xml:space="preserve"> проектов согласно плану)</w:t>
            </w:r>
          </w:p>
        </w:tc>
      </w:tr>
      <w:tr w:rsidR="00515DAA" w:rsidRPr="003D1565" w:rsidTr="006E0961">
        <w:trPr>
          <w:cantSplit/>
          <w:trHeight w:val="263"/>
        </w:trPr>
        <w:tc>
          <w:tcPr>
            <w:tcW w:w="9781" w:type="dxa"/>
            <w:gridSpan w:val="4"/>
          </w:tcPr>
          <w:p w:rsidR="00515DAA" w:rsidRPr="003D1565" w:rsidRDefault="00515DAA" w:rsidP="006E0961">
            <w:pPr>
              <w:keepNext/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7.</w:t>
            </w:r>
            <w:r w:rsidRPr="003D1565">
              <w:rPr>
                <w:b/>
                <w:color w:val="000000"/>
                <w:sz w:val="20"/>
                <w:lang w:eastAsia="en-US"/>
              </w:rPr>
              <w:tab/>
              <w:t>Судебные споры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7.1</w:t>
            </w:r>
          </w:p>
        </w:tc>
        <w:tc>
          <w:tcPr>
            <w:tcW w:w="9072" w:type="dxa"/>
            <w:gridSpan w:val="3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и описание действующих судебных разбирательс</w:t>
            </w:r>
            <w:r>
              <w:rPr>
                <w:color w:val="000000"/>
                <w:sz w:val="20"/>
                <w:lang w:eastAsia="en-US"/>
              </w:rPr>
              <w:t xml:space="preserve">тв в России в отношении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  <w:r w:rsidRPr="003D1565">
              <w:rPr>
                <w:color w:val="000000"/>
                <w:sz w:val="20"/>
                <w:lang w:eastAsia="en-US"/>
              </w:rPr>
              <w:t>на сумму, превышающую 30 млн руб., а также ключевых разбирательств неимущественного характера в связи с основн</w:t>
            </w:r>
            <w:r>
              <w:rPr>
                <w:color w:val="000000"/>
                <w:sz w:val="20"/>
                <w:lang w:eastAsia="en-US"/>
              </w:rPr>
              <w:t xml:space="preserve">ой деятельностью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</w:t>
            </w:r>
            <w:r>
              <w:rPr>
                <w:color w:val="000000"/>
                <w:sz w:val="20"/>
                <w:lang w:eastAsia="en-US"/>
              </w:rPr>
              <w:t xml:space="preserve">  (в отношении прав </w:t>
            </w:r>
            <w:r w:rsidRPr="003D1565">
              <w:rPr>
                <w:color w:val="000000"/>
                <w:sz w:val="20"/>
                <w:lang w:eastAsia="en-US"/>
              </w:rPr>
              <w:t>АО «</w:t>
            </w:r>
            <w:r>
              <w:rPr>
                <w:color w:val="000000"/>
                <w:sz w:val="20"/>
                <w:lang w:eastAsia="en-US"/>
              </w:rPr>
              <w:t xml:space="preserve">Воронежская </w:t>
            </w:r>
            <w:proofErr w:type="spellStart"/>
            <w:r>
              <w:rPr>
                <w:color w:val="000000"/>
                <w:sz w:val="20"/>
                <w:lang w:eastAsia="en-US"/>
              </w:rPr>
              <w:t>горэлектросеть</w:t>
            </w:r>
            <w:proofErr w:type="spellEnd"/>
            <w:r w:rsidRPr="003D1565">
              <w:rPr>
                <w:color w:val="000000"/>
                <w:sz w:val="20"/>
                <w:lang w:eastAsia="en-US"/>
              </w:rPr>
              <w:t>»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  <w:r w:rsidRPr="003D1565">
              <w:rPr>
                <w:color w:val="000000"/>
                <w:sz w:val="20"/>
                <w:lang w:eastAsia="en-US"/>
              </w:rPr>
              <w:t>на наиболее существенное недвижимое имущество, исполнения\неисполнения договорных обязательств Объекта, действия лицензий\разрешений и проч., соблюдения норм законодательства об основной деятельности) (за исключением налоговых споров) (в отношении всего не более 30 споров)</w:t>
            </w:r>
          </w:p>
        </w:tc>
      </w:tr>
    </w:tbl>
    <w:p w:rsidR="00515DAA" w:rsidRPr="00AB234A" w:rsidRDefault="00515DAA" w:rsidP="00AB234A">
      <w:pPr>
        <w:pStyle w:val="a4"/>
        <w:numPr>
          <w:ilvl w:val="0"/>
          <w:numId w:val="23"/>
        </w:numPr>
        <w:spacing w:before="120" w:after="120"/>
        <w:rPr>
          <w:rFonts w:ascii="Times New Roman" w:hAnsi="Times New Roman"/>
          <w:b/>
          <w:sz w:val="24"/>
          <w:szCs w:val="24"/>
        </w:rPr>
      </w:pPr>
      <w:r w:rsidRPr="00AB234A">
        <w:rPr>
          <w:rFonts w:ascii="Times New Roman" w:hAnsi="Times New Roman"/>
          <w:b/>
          <w:sz w:val="24"/>
          <w:szCs w:val="24"/>
        </w:rPr>
        <w:t>Налоговая экспертиза:</w:t>
      </w:r>
    </w:p>
    <w:p w:rsidR="00515DAA" w:rsidRPr="003D1565" w:rsidRDefault="00515DAA" w:rsidP="00515DAA">
      <w:pPr>
        <w:widowControl w:val="0"/>
        <w:tabs>
          <w:tab w:val="left" w:pos="709"/>
        </w:tabs>
        <w:spacing w:before="120" w:after="120"/>
        <w:ind w:firstLine="709"/>
        <w:jc w:val="both"/>
        <w:rPr>
          <w:rFonts w:eastAsia="Calibri"/>
          <w:b/>
          <w:color w:val="000000"/>
          <w:szCs w:val="24"/>
          <w:lang w:eastAsia="en-US"/>
        </w:rPr>
      </w:pPr>
      <w:r w:rsidRPr="003D1565">
        <w:rPr>
          <w:rFonts w:eastAsia="Calibri"/>
          <w:b/>
          <w:color w:val="000000"/>
          <w:szCs w:val="24"/>
          <w:lang w:eastAsia="en-US"/>
        </w:rPr>
        <w:t>Период налоговой экспертизы:</w:t>
      </w:r>
    </w:p>
    <w:p w:rsidR="00EE63D3" w:rsidRPr="003D1565" w:rsidRDefault="007561EE" w:rsidP="00EE63D3">
      <w:pPr>
        <w:widowControl w:val="0"/>
        <w:numPr>
          <w:ilvl w:val="0"/>
          <w:numId w:val="5"/>
        </w:numPr>
        <w:tabs>
          <w:tab w:val="left" w:pos="709"/>
        </w:tabs>
        <w:ind w:left="0" w:firstLine="709"/>
        <w:contextualSpacing/>
        <w:jc w:val="both"/>
        <w:rPr>
          <w:rFonts w:eastAsia="Calibri"/>
          <w:color w:val="000000"/>
          <w:szCs w:val="24"/>
          <w:lang w:eastAsia="en-US"/>
        </w:rPr>
      </w:pPr>
      <w:r w:rsidRPr="003D1565">
        <w:rPr>
          <w:rFonts w:eastAsia="Calibri"/>
          <w:color w:val="000000"/>
          <w:szCs w:val="24"/>
          <w:lang w:eastAsia="en-US"/>
        </w:rPr>
        <w:t>за 201</w:t>
      </w:r>
      <w:r>
        <w:rPr>
          <w:rFonts w:eastAsia="Calibri"/>
          <w:color w:val="000000"/>
          <w:szCs w:val="24"/>
          <w:lang w:eastAsia="en-US"/>
        </w:rPr>
        <w:t xml:space="preserve">6, </w:t>
      </w:r>
      <w:r w:rsidRPr="003D1565">
        <w:rPr>
          <w:rFonts w:eastAsia="Calibri"/>
          <w:color w:val="000000"/>
          <w:szCs w:val="24"/>
          <w:lang w:eastAsia="en-US"/>
        </w:rPr>
        <w:t>201</w:t>
      </w:r>
      <w:r>
        <w:rPr>
          <w:rFonts w:eastAsia="Calibri"/>
          <w:color w:val="000000"/>
          <w:szCs w:val="24"/>
          <w:lang w:eastAsia="en-US"/>
        </w:rPr>
        <w:t xml:space="preserve">7 и </w:t>
      </w:r>
      <w:r w:rsidR="00EE63D3">
        <w:rPr>
          <w:rFonts w:eastAsia="Calibri"/>
          <w:color w:val="000000"/>
          <w:szCs w:val="24"/>
          <w:lang w:eastAsia="en-US"/>
        </w:rPr>
        <w:t>с 1 января 2018 по 22 октября 2018</w:t>
      </w:r>
      <w:r w:rsidR="00DF4A54">
        <w:rPr>
          <w:rFonts w:eastAsia="Calibri"/>
          <w:color w:val="000000"/>
          <w:szCs w:val="24"/>
          <w:lang w:eastAsia="en-US"/>
        </w:rPr>
        <w:t>г.</w:t>
      </w:r>
    </w:p>
    <w:p w:rsidR="00515DAA" w:rsidRPr="003D1565" w:rsidRDefault="00515DAA" w:rsidP="00515DAA">
      <w:pPr>
        <w:widowControl w:val="0"/>
        <w:tabs>
          <w:tab w:val="left" w:pos="709"/>
        </w:tabs>
        <w:spacing w:before="120" w:after="120"/>
        <w:ind w:firstLine="709"/>
        <w:jc w:val="both"/>
        <w:rPr>
          <w:rFonts w:eastAsia="Calibri"/>
          <w:b/>
          <w:color w:val="000000"/>
          <w:szCs w:val="24"/>
          <w:lang w:eastAsia="en-US"/>
        </w:rPr>
      </w:pPr>
      <w:r w:rsidRPr="003D1565">
        <w:rPr>
          <w:rFonts w:eastAsia="Calibri"/>
          <w:b/>
          <w:color w:val="000000"/>
          <w:szCs w:val="24"/>
          <w:lang w:eastAsia="en-US"/>
        </w:rPr>
        <w:t>Процедуры налоговой экспертизы:</w:t>
      </w:r>
    </w:p>
    <w:tbl>
      <w:tblPr>
        <w:tblW w:w="9781" w:type="dxa"/>
        <w:tblBorders>
          <w:top w:val="single" w:sz="4" w:space="0" w:color="7F7E82"/>
          <w:bottom w:val="single" w:sz="4" w:space="0" w:color="7F7E82"/>
          <w:insideH w:val="single" w:sz="4" w:space="0" w:color="7F7E82"/>
          <w:insideV w:val="single" w:sz="4" w:space="0" w:color="7F7E82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072"/>
      </w:tblGrid>
      <w:tr w:rsidR="00515DAA" w:rsidRPr="003D1565" w:rsidTr="006E0961">
        <w:trPr>
          <w:cantSplit/>
        </w:trPr>
        <w:tc>
          <w:tcPr>
            <w:tcW w:w="9781" w:type="dxa"/>
            <w:gridSpan w:val="2"/>
          </w:tcPr>
          <w:p w:rsidR="00515DAA" w:rsidRPr="003D1565" w:rsidRDefault="00515DAA" w:rsidP="006E0961">
            <w:pPr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1.</w:t>
            </w:r>
            <w:r w:rsidRPr="003D1565">
              <w:rPr>
                <w:b/>
                <w:color w:val="000000"/>
                <w:sz w:val="20"/>
                <w:lang w:eastAsia="en-US"/>
              </w:rPr>
              <w:tab/>
              <w:t>Выборочный анализ хозяйственных операций на предмет выявления существенных и системных налоговых рисков, включая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1.1</w:t>
            </w:r>
          </w:p>
        </w:tc>
        <w:tc>
          <w:tcPr>
            <w:tcW w:w="9072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Операций по оказанию услуг по передаче электроэнергии, технологическому присоединению потребителей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1.2</w:t>
            </w:r>
          </w:p>
        </w:tc>
        <w:tc>
          <w:tcPr>
            <w:tcW w:w="9072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Операций в рамках осуществления инвестиционной деятельности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1.3</w:t>
            </w:r>
          </w:p>
        </w:tc>
        <w:tc>
          <w:tcPr>
            <w:tcW w:w="9072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Операций по договорам с поставщиками и подрядчиками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1.4</w:t>
            </w:r>
          </w:p>
        </w:tc>
        <w:tc>
          <w:tcPr>
            <w:tcW w:w="9072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</w:rPr>
            </w:pPr>
            <w:r w:rsidRPr="003D1565">
              <w:rPr>
                <w:color w:val="000000"/>
                <w:sz w:val="20"/>
              </w:rPr>
              <w:t>Операций по финансированию Компании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1.5</w:t>
            </w:r>
          </w:p>
        </w:tc>
        <w:tc>
          <w:tcPr>
            <w:tcW w:w="9072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</w:rPr>
              <w:t>Иные существенные операции</w:t>
            </w:r>
          </w:p>
        </w:tc>
      </w:tr>
      <w:tr w:rsidR="00515DAA" w:rsidRPr="003D1565" w:rsidTr="006E0961">
        <w:trPr>
          <w:cantSplit/>
        </w:trPr>
        <w:tc>
          <w:tcPr>
            <w:tcW w:w="9781" w:type="dxa"/>
            <w:gridSpan w:val="2"/>
          </w:tcPr>
          <w:p w:rsidR="00515DAA" w:rsidRPr="003963DB" w:rsidRDefault="00515DAA" w:rsidP="007D09C0">
            <w:pPr>
              <w:widowControl w:val="0"/>
              <w:tabs>
                <w:tab w:val="left" w:pos="709"/>
              </w:tabs>
              <w:contextualSpacing/>
              <w:jc w:val="both"/>
              <w:rPr>
                <w:b/>
                <w:color w:val="000000"/>
                <w:sz w:val="20"/>
                <w:lang w:eastAsia="en-US"/>
              </w:rPr>
            </w:pPr>
            <w:r w:rsidRPr="003963DB">
              <w:rPr>
                <w:b/>
                <w:color w:val="000000"/>
                <w:sz w:val="20"/>
                <w:lang w:eastAsia="en-US"/>
              </w:rPr>
              <w:t>2.</w:t>
            </w:r>
            <w:r w:rsidRPr="003963DB">
              <w:rPr>
                <w:b/>
                <w:color w:val="000000"/>
                <w:sz w:val="20"/>
                <w:lang w:eastAsia="en-US"/>
              </w:rPr>
              <w:tab/>
              <w:t>Анализ и оценка, существующих и/или потенциальных значительных налоговых рисков на основе анализа актов аудитор</w:t>
            </w:r>
            <w:r w:rsidR="007561EE" w:rsidRPr="003963DB">
              <w:rPr>
                <w:b/>
                <w:color w:val="000000"/>
                <w:sz w:val="20"/>
                <w:lang w:eastAsia="en-US"/>
              </w:rPr>
              <w:t>ских и налоговых проверок за 2016</w:t>
            </w:r>
            <w:r w:rsidR="007561EE" w:rsidRPr="007D09C0">
              <w:rPr>
                <w:b/>
                <w:color w:val="000000"/>
                <w:sz w:val="20"/>
                <w:lang w:eastAsia="en-US"/>
              </w:rPr>
              <w:t xml:space="preserve">, 2017 и </w:t>
            </w:r>
            <w:r w:rsidR="003963DB" w:rsidRPr="007D09C0">
              <w:rPr>
                <w:rFonts w:eastAsia="Calibri"/>
                <w:b/>
                <w:color w:val="000000"/>
                <w:sz w:val="20"/>
                <w:lang w:eastAsia="en-US"/>
              </w:rPr>
              <w:t>с 1 января 2018 по 22 октября 2018</w:t>
            </w:r>
            <w:r w:rsidR="003963DB" w:rsidRPr="007D09C0">
              <w:rPr>
                <w:rFonts w:eastAsia="Calibri"/>
                <w:b/>
                <w:color w:val="000000"/>
                <w:sz w:val="20"/>
                <w:lang w:eastAsia="en-US"/>
              </w:rPr>
              <w:t>.</w:t>
            </w:r>
            <w:r w:rsidRPr="003963DB">
              <w:rPr>
                <w:b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515DAA" w:rsidRPr="003D1565" w:rsidTr="006E0961">
        <w:trPr>
          <w:cantSplit/>
          <w:trHeight w:val="465"/>
        </w:trPr>
        <w:tc>
          <w:tcPr>
            <w:tcW w:w="9781" w:type="dxa"/>
            <w:gridSpan w:val="2"/>
          </w:tcPr>
          <w:p w:rsidR="00515DAA" w:rsidRPr="003D1565" w:rsidRDefault="00515DAA" w:rsidP="006E0961">
            <w:pPr>
              <w:tabs>
                <w:tab w:val="left" w:pos="720"/>
              </w:tabs>
              <w:snapToGrid w:val="0"/>
              <w:jc w:val="both"/>
              <w:rPr>
                <w:rFonts w:eastAsia="SimSun"/>
                <w:color w:val="000000"/>
                <w:kern w:val="1"/>
                <w:sz w:val="20"/>
                <w:lang w:eastAsia="en-US" w:bidi="hi-IN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3.</w:t>
            </w:r>
            <w:r w:rsidRPr="003D1565">
              <w:rPr>
                <w:b/>
                <w:color w:val="000000"/>
                <w:sz w:val="20"/>
                <w:lang w:eastAsia="en-US"/>
              </w:rPr>
              <w:tab/>
            </w:r>
            <w:r w:rsidRPr="003D1565">
              <w:rPr>
                <w:rFonts w:eastAsia="SimSun"/>
                <w:b/>
                <w:color w:val="000000"/>
                <w:kern w:val="1"/>
                <w:sz w:val="20"/>
                <w:lang w:eastAsia="en-US" w:bidi="hi-IN"/>
              </w:rPr>
              <w:t>Анализ инструментов налогового планирования, применяемого Компанией и оценка рисков, связанных с применением таких инструментов</w:t>
            </w:r>
          </w:p>
        </w:tc>
      </w:tr>
      <w:tr w:rsidR="00515DAA" w:rsidRPr="003D1565" w:rsidTr="006E0961">
        <w:trPr>
          <w:cantSplit/>
          <w:trHeight w:val="415"/>
        </w:trPr>
        <w:tc>
          <w:tcPr>
            <w:tcW w:w="9781" w:type="dxa"/>
            <w:gridSpan w:val="2"/>
          </w:tcPr>
          <w:p w:rsidR="00515DAA" w:rsidRPr="003D1565" w:rsidRDefault="00515DAA" w:rsidP="006E0961">
            <w:pPr>
              <w:tabs>
                <w:tab w:val="left" w:pos="720"/>
              </w:tabs>
              <w:snapToGrid w:val="0"/>
              <w:jc w:val="both"/>
              <w:rPr>
                <w:rFonts w:eastAsia="SimSun"/>
                <w:b/>
                <w:color w:val="000000"/>
                <w:kern w:val="1"/>
                <w:sz w:val="20"/>
                <w:lang w:eastAsia="en-US" w:bidi="hi-IN"/>
              </w:rPr>
            </w:pPr>
            <w:r w:rsidRPr="003D1565">
              <w:rPr>
                <w:rFonts w:eastAsia="SimSun"/>
                <w:b/>
                <w:color w:val="000000"/>
                <w:kern w:val="1"/>
                <w:sz w:val="20"/>
                <w:lang w:eastAsia="en-US" w:bidi="hi-IN"/>
              </w:rPr>
              <w:t>4.</w:t>
            </w:r>
            <w:r w:rsidRPr="003D1565">
              <w:rPr>
                <w:rFonts w:eastAsia="SimSun"/>
                <w:b/>
                <w:color w:val="000000"/>
                <w:kern w:val="1"/>
                <w:sz w:val="20"/>
                <w:lang w:eastAsia="en-US" w:bidi="hi-IN"/>
              </w:rPr>
              <w:tab/>
              <w:t>Аналитический обзор налоговой позиции Компании по судебным разбирательствам с налоговыми органами</w:t>
            </w:r>
          </w:p>
        </w:tc>
      </w:tr>
    </w:tbl>
    <w:p w:rsidR="00515DAA" w:rsidRPr="00AB234A" w:rsidRDefault="00515DAA" w:rsidP="00AB234A">
      <w:pPr>
        <w:pStyle w:val="a4"/>
        <w:numPr>
          <w:ilvl w:val="0"/>
          <w:numId w:val="23"/>
        </w:numPr>
        <w:spacing w:before="120" w:after="120"/>
        <w:rPr>
          <w:rFonts w:ascii="Times New Roman" w:hAnsi="Times New Roman"/>
          <w:b/>
          <w:sz w:val="24"/>
          <w:szCs w:val="24"/>
        </w:rPr>
      </w:pPr>
      <w:r w:rsidRPr="00AB234A">
        <w:rPr>
          <w:rFonts w:ascii="Times New Roman" w:hAnsi="Times New Roman"/>
          <w:b/>
          <w:sz w:val="24"/>
          <w:szCs w:val="24"/>
        </w:rPr>
        <w:t>Экспертиза инвестиционной деятельности:</w:t>
      </w:r>
    </w:p>
    <w:p w:rsidR="00515DAA" w:rsidRPr="003D1565" w:rsidRDefault="00515DAA" w:rsidP="00515DAA">
      <w:pPr>
        <w:widowControl w:val="0"/>
        <w:tabs>
          <w:tab w:val="left" w:pos="709"/>
        </w:tabs>
        <w:spacing w:before="120" w:after="120"/>
        <w:ind w:firstLine="709"/>
        <w:jc w:val="both"/>
        <w:rPr>
          <w:rFonts w:eastAsia="Calibri"/>
          <w:b/>
          <w:color w:val="000000"/>
          <w:szCs w:val="24"/>
          <w:lang w:eastAsia="en-US"/>
        </w:rPr>
      </w:pPr>
      <w:r w:rsidRPr="003D1565">
        <w:rPr>
          <w:rFonts w:eastAsia="Calibri"/>
          <w:b/>
          <w:color w:val="000000"/>
          <w:szCs w:val="24"/>
          <w:lang w:eastAsia="en-US"/>
        </w:rPr>
        <w:t>Период экспертизы инвестиционной деятельности:</w:t>
      </w:r>
    </w:p>
    <w:p w:rsidR="00515DAA" w:rsidRPr="00EE63D3" w:rsidRDefault="007561EE" w:rsidP="007E4891">
      <w:pPr>
        <w:widowControl w:val="0"/>
        <w:numPr>
          <w:ilvl w:val="0"/>
          <w:numId w:val="5"/>
        </w:numPr>
        <w:tabs>
          <w:tab w:val="left" w:pos="709"/>
        </w:tabs>
        <w:ind w:left="0" w:firstLine="709"/>
        <w:contextualSpacing/>
        <w:jc w:val="both"/>
        <w:rPr>
          <w:szCs w:val="24"/>
        </w:rPr>
      </w:pPr>
      <w:r w:rsidRPr="00EE63D3">
        <w:rPr>
          <w:rFonts w:eastAsia="Calibri"/>
          <w:color w:val="000000"/>
          <w:szCs w:val="24"/>
          <w:lang w:eastAsia="en-US"/>
        </w:rPr>
        <w:t xml:space="preserve">за 2016, 2017 и </w:t>
      </w:r>
      <w:r w:rsidR="00EE63D3" w:rsidRPr="00EE63D3">
        <w:rPr>
          <w:rFonts w:eastAsia="Calibri"/>
          <w:color w:val="000000"/>
          <w:szCs w:val="24"/>
          <w:lang w:eastAsia="en-US"/>
        </w:rPr>
        <w:t>с 1 января 2018 по 22 октября 2018</w:t>
      </w:r>
      <w:r w:rsidR="00DF4A54">
        <w:rPr>
          <w:rFonts w:eastAsia="Calibri"/>
          <w:color w:val="000000"/>
          <w:szCs w:val="24"/>
          <w:lang w:eastAsia="en-US"/>
        </w:rPr>
        <w:t>г</w:t>
      </w:r>
      <w:r w:rsidRPr="00EE63D3">
        <w:rPr>
          <w:rFonts w:eastAsia="Calibri"/>
          <w:color w:val="000000"/>
          <w:szCs w:val="24"/>
          <w:lang w:eastAsia="en-US"/>
        </w:rPr>
        <w:t>.</w:t>
      </w:r>
    </w:p>
    <w:p w:rsidR="00515DAA" w:rsidRPr="003D1565" w:rsidRDefault="00515DAA" w:rsidP="00515DAA">
      <w:pPr>
        <w:widowControl w:val="0"/>
        <w:tabs>
          <w:tab w:val="left" w:pos="709"/>
        </w:tabs>
        <w:spacing w:before="120" w:after="120"/>
        <w:ind w:firstLine="709"/>
        <w:jc w:val="both"/>
        <w:rPr>
          <w:rFonts w:eastAsia="Calibri"/>
          <w:b/>
          <w:color w:val="000000"/>
          <w:szCs w:val="24"/>
          <w:lang w:eastAsia="en-US"/>
        </w:rPr>
      </w:pPr>
      <w:r w:rsidRPr="003D1565">
        <w:rPr>
          <w:rFonts w:eastAsia="Calibri"/>
          <w:b/>
          <w:color w:val="000000"/>
          <w:szCs w:val="24"/>
          <w:lang w:eastAsia="en-US"/>
        </w:rPr>
        <w:t>Процедуры налоговой экспертизы:</w:t>
      </w:r>
    </w:p>
    <w:tbl>
      <w:tblPr>
        <w:tblW w:w="9781" w:type="dxa"/>
        <w:tblBorders>
          <w:top w:val="single" w:sz="4" w:space="0" w:color="7F7E82"/>
          <w:bottom w:val="single" w:sz="4" w:space="0" w:color="7F7E82"/>
          <w:insideH w:val="single" w:sz="4" w:space="0" w:color="7F7E82"/>
          <w:insideV w:val="single" w:sz="4" w:space="0" w:color="7F7E82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072"/>
      </w:tblGrid>
      <w:tr w:rsidR="00515DAA" w:rsidRPr="003D1565" w:rsidTr="006E0961">
        <w:trPr>
          <w:cantSplit/>
        </w:trPr>
        <w:tc>
          <w:tcPr>
            <w:tcW w:w="9781" w:type="dxa"/>
            <w:gridSpan w:val="2"/>
          </w:tcPr>
          <w:p w:rsidR="00515DAA" w:rsidRPr="003D1565" w:rsidRDefault="00515DAA" w:rsidP="006E0961">
            <w:pPr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1.</w:t>
            </w:r>
            <w:r w:rsidRPr="003D1565">
              <w:rPr>
                <w:b/>
                <w:color w:val="000000"/>
                <w:sz w:val="20"/>
                <w:lang w:eastAsia="en-US"/>
              </w:rPr>
              <w:tab/>
              <w:t>Анализ исторических данных по реализации инвестиционной программы Компании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1.1</w:t>
            </w:r>
          </w:p>
        </w:tc>
        <w:tc>
          <w:tcPr>
            <w:tcW w:w="9072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исторических инвестиционных расходов Компании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1.2</w:t>
            </w:r>
          </w:p>
        </w:tc>
        <w:tc>
          <w:tcPr>
            <w:tcW w:w="9072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Анализ данных об источниках финансирования инвестиционных расходов Компании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1.3</w:t>
            </w:r>
          </w:p>
        </w:tc>
        <w:tc>
          <w:tcPr>
            <w:tcW w:w="9072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</w:rPr>
              <w:t>Анализ информации о вводах объектов законченного строительства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1.4</w:t>
            </w:r>
          </w:p>
        </w:tc>
        <w:tc>
          <w:tcPr>
            <w:tcW w:w="9072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</w:rPr>
            </w:pPr>
            <w:r w:rsidRPr="003D1565">
              <w:rPr>
                <w:color w:val="000000"/>
                <w:sz w:val="20"/>
              </w:rPr>
              <w:t>Анализ планового и фактического исполнения инвестиционной программы Компании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1.5</w:t>
            </w:r>
          </w:p>
        </w:tc>
        <w:tc>
          <w:tcPr>
            <w:tcW w:w="9072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</w:rPr>
              <w:t>Анализ результатов инвестиционной деятельности Компании в части технологического присоединения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1.6.</w:t>
            </w:r>
          </w:p>
        </w:tc>
        <w:tc>
          <w:tcPr>
            <w:tcW w:w="9072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</w:rPr>
            </w:pPr>
            <w:r w:rsidRPr="003D1565">
              <w:rPr>
                <w:color w:val="000000"/>
                <w:sz w:val="20"/>
              </w:rPr>
              <w:t xml:space="preserve">Анализ информации о крупнейших объектах незавершенного строительства Компании </w:t>
            </w:r>
          </w:p>
        </w:tc>
      </w:tr>
      <w:tr w:rsidR="00515DAA" w:rsidRPr="003D1565" w:rsidTr="006E0961">
        <w:trPr>
          <w:cantSplit/>
        </w:trPr>
        <w:tc>
          <w:tcPr>
            <w:tcW w:w="9781" w:type="dxa"/>
            <w:gridSpan w:val="2"/>
          </w:tcPr>
          <w:p w:rsidR="00515DAA" w:rsidRPr="003D1565" w:rsidRDefault="00515DAA" w:rsidP="006E0961">
            <w:pPr>
              <w:jc w:val="both"/>
              <w:rPr>
                <w:b/>
                <w:color w:val="000000"/>
                <w:sz w:val="20"/>
                <w:lang w:eastAsia="en-US"/>
              </w:rPr>
            </w:pPr>
            <w:r w:rsidRPr="003D1565">
              <w:rPr>
                <w:b/>
                <w:color w:val="000000"/>
                <w:sz w:val="20"/>
                <w:lang w:eastAsia="en-US"/>
              </w:rPr>
              <w:t>2.</w:t>
            </w:r>
            <w:r w:rsidRPr="003D1565">
              <w:rPr>
                <w:b/>
                <w:color w:val="000000"/>
                <w:sz w:val="20"/>
                <w:lang w:eastAsia="en-US"/>
              </w:rPr>
              <w:tab/>
              <w:t>Анализ утвержденной инвестиционной программы Компании</w:t>
            </w:r>
          </w:p>
        </w:tc>
      </w:tr>
      <w:tr w:rsidR="00515DAA" w:rsidRPr="003D1565" w:rsidTr="006E0961">
        <w:trPr>
          <w:cantSplit/>
        </w:trPr>
        <w:tc>
          <w:tcPr>
            <w:tcW w:w="709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>2.1</w:t>
            </w:r>
          </w:p>
        </w:tc>
        <w:tc>
          <w:tcPr>
            <w:tcW w:w="9072" w:type="dxa"/>
          </w:tcPr>
          <w:p w:rsidR="00515DAA" w:rsidRPr="003D1565" w:rsidRDefault="00515DAA" w:rsidP="006E0961">
            <w:pPr>
              <w:jc w:val="both"/>
              <w:rPr>
                <w:color w:val="000000"/>
                <w:sz w:val="20"/>
                <w:lang w:eastAsia="en-US"/>
              </w:rPr>
            </w:pPr>
            <w:r w:rsidRPr="003D1565">
              <w:rPr>
                <w:color w:val="000000"/>
                <w:sz w:val="20"/>
                <w:lang w:eastAsia="en-US"/>
              </w:rPr>
              <w:t xml:space="preserve">Анализ структуры, плановых объемов расходов, освоения и вводов, источников финансирования </w:t>
            </w:r>
          </w:p>
        </w:tc>
      </w:tr>
    </w:tbl>
    <w:p w:rsidR="00515DAA" w:rsidRPr="002117CD" w:rsidRDefault="00515DAA" w:rsidP="00A4664F">
      <w:pPr>
        <w:jc w:val="right"/>
      </w:pPr>
    </w:p>
    <w:sectPr w:rsidR="00515DAA" w:rsidRPr="00211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2725"/>
    <w:multiLevelType w:val="hybridMultilevel"/>
    <w:tmpl w:val="D8EEB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65E06"/>
    <w:multiLevelType w:val="hybridMultilevel"/>
    <w:tmpl w:val="A858E3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EE214A"/>
    <w:multiLevelType w:val="hybridMultilevel"/>
    <w:tmpl w:val="B0EE1B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074770"/>
    <w:multiLevelType w:val="hybridMultilevel"/>
    <w:tmpl w:val="CCCAF8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11616C"/>
    <w:multiLevelType w:val="hybridMultilevel"/>
    <w:tmpl w:val="4F364F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FE04AF"/>
    <w:multiLevelType w:val="hybridMultilevel"/>
    <w:tmpl w:val="A78A03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547F00"/>
    <w:multiLevelType w:val="hybridMultilevel"/>
    <w:tmpl w:val="9134E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C351D"/>
    <w:multiLevelType w:val="hybridMultilevel"/>
    <w:tmpl w:val="B3AA1168"/>
    <w:lvl w:ilvl="0" w:tplc="041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8" w15:restartNumberingAfterBreak="0">
    <w:nsid w:val="459C47C2"/>
    <w:multiLevelType w:val="multilevel"/>
    <w:tmpl w:val="52BA2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i w:val="0"/>
        <w:u w:val="none"/>
      </w:rPr>
    </w:lvl>
  </w:abstractNum>
  <w:abstractNum w:abstractNumId="9" w15:restartNumberingAfterBreak="0">
    <w:nsid w:val="52332789"/>
    <w:multiLevelType w:val="hybridMultilevel"/>
    <w:tmpl w:val="BDD2D8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5C604E"/>
    <w:multiLevelType w:val="hybridMultilevel"/>
    <w:tmpl w:val="B7A4C4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8E4E8C"/>
    <w:multiLevelType w:val="hybridMultilevel"/>
    <w:tmpl w:val="29AC13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6E29BE"/>
    <w:multiLevelType w:val="hybridMultilevel"/>
    <w:tmpl w:val="363C0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97AEC"/>
    <w:multiLevelType w:val="hybridMultilevel"/>
    <w:tmpl w:val="F96A02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B150E5"/>
    <w:multiLevelType w:val="hybridMultilevel"/>
    <w:tmpl w:val="3830F1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0F2BC5"/>
    <w:multiLevelType w:val="hybridMultilevel"/>
    <w:tmpl w:val="9C96A6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946ABB"/>
    <w:multiLevelType w:val="hybridMultilevel"/>
    <w:tmpl w:val="ADB8E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5A35E0"/>
    <w:multiLevelType w:val="hybridMultilevel"/>
    <w:tmpl w:val="F334A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216C6"/>
    <w:multiLevelType w:val="hybridMultilevel"/>
    <w:tmpl w:val="E2C4FD0A"/>
    <w:lvl w:ilvl="0" w:tplc="33828D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3E60F3F"/>
    <w:multiLevelType w:val="hybridMultilevel"/>
    <w:tmpl w:val="46C8CB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7910FB"/>
    <w:multiLevelType w:val="hybridMultilevel"/>
    <w:tmpl w:val="257A37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940181"/>
    <w:multiLevelType w:val="hybridMultilevel"/>
    <w:tmpl w:val="D26E55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615166"/>
    <w:multiLevelType w:val="hybridMultilevel"/>
    <w:tmpl w:val="60B8F6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0"/>
  </w:num>
  <w:num w:numId="5">
    <w:abstractNumId w:val="22"/>
  </w:num>
  <w:num w:numId="6">
    <w:abstractNumId w:val="16"/>
  </w:num>
  <w:num w:numId="7">
    <w:abstractNumId w:val="19"/>
  </w:num>
  <w:num w:numId="8">
    <w:abstractNumId w:val="15"/>
  </w:num>
  <w:num w:numId="9">
    <w:abstractNumId w:val="9"/>
  </w:num>
  <w:num w:numId="10">
    <w:abstractNumId w:val="10"/>
  </w:num>
  <w:num w:numId="11">
    <w:abstractNumId w:val="3"/>
  </w:num>
  <w:num w:numId="12">
    <w:abstractNumId w:val="13"/>
  </w:num>
  <w:num w:numId="13">
    <w:abstractNumId w:val="5"/>
  </w:num>
  <w:num w:numId="14">
    <w:abstractNumId w:val="20"/>
  </w:num>
  <w:num w:numId="15">
    <w:abstractNumId w:val="2"/>
  </w:num>
  <w:num w:numId="16">
    <w:abstractNumId w:val="21"/>
  </w:num>
  <w:num w:numId="17">
    <w:abstractNumId w:val="1"/>
  </w:num>
  <w:num w:numId="18">
    <w:abstractNumId w:val="12"/>
  </w:num>
  <w:num w:numId="19">
    <w:abstractNumId w:val="7"/>
  </w:num>
  <w:num w:numId="20">
    <w:abstractNumId w:val="14"/>
  </w:num>
  <w:num w:numId="21">
    <w:abstractNumId w:val="17"/>
  </w:num>
  <w:num w:numId="22">
    <w:abstractNumId w:val="6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7CD"/>
    <w:rsid w:val="0002787F"/>
    <w:rsid w:val="000336B7"/>
    <w:rsid w:val="00040A5A"/>
    <w:rsid w:val="000B4217"/>
    <w:rsid w:val="000C0C9D"/>
    <w:rsid w:val="00106B7F"/>
    <w:rsid w:val="00126774"/>
    <w:rsid w:val="001610FE"/>
    <w:rsid w:val="001D0FF4"/>
    <w:rsid w:val="001D428E"/>
    <w:rsid w:val="001E1F71"/>
    <w:rsid w:val="00211692"/>
    <w:rsid w:val="002117CD"/>
    <w:rsid w:val="0023333F"/>
    <w:rsid w:val="002A5440"/>
    <w:rsid w:val="002C0676"/>
    <w:rsid w:val="002F320D"/>
    <w:rsid w:val="00304F57"/>
    <w:rsid w:val="00347536"/>
    <w:rsid w:val="003878C3"/>
    <w:rsid w:val="003963DB"/>
    <w:rsid w:val="003D66C9"/>
    <w:rsid w:val="003E647B"/>
    <w:rsid w:val="00401A09"/>
    <w:rsid w:val="00425231"/>
    <w:rsid w:val="00443BD8"/>
    <w:rsid w:val="004A771C"/>
    <w:rsid w:val="004E4A43"/>
    <w:rsid w:val="005134EC"/>
    <w:rsid w:val="00515DAA"/>
    <w:rsid w:val="00520A79"/>
    <w:rsid w:val="00587BCC"/>
    <w:rsid w:val="005A4710"/>
    <w:rsid w:val="0062102D"/>
    <w:rsid w:val="006C1D94"/>
    <w:rsid w:val="006E0961"/>
    <w:rsid w:val="006E5D76"/>
    <w:rsid w:val="007561EE"/>
    <w:rsid w:val="00771927"/>
    <w:rsid w:val="007D09C0"/>
    <w:rsid w:val="007F7578"/>
    <w:rsid w:val="00856DEB"/>
    <w:rsid w:val="00860265"/>
    <w:rsid w:val="00870BA5"/>
    <w:rsid w:val="008B0A1C"/>
    <w:rsid w:val="008C7006"/>
    <w:rsid w:val="008D0169"/>
    <w:rsid w:val="009221A8"/>
    <w:rsid w:val="009716FF"/>
    <w:rsid w:val="00A4664F"/>
    <w:rsid w:val="00A76C0A"/>
    <w:rsid w:val="00A85920"/>
    <w:rsid w:val="00AB234A"/>
    <w:rsid w:val="00AF02B9"/>
    <w:rsid w:val="00B278C3"/>
    <w:rsid w:val="00B93F97"/>
    <w:rsid w:val="00C0314E"/>
    <w:rsid w:val="00C2471D"/>
    <w:rsid w:val="00CC0FB3"/>
    <w:rsid w:val="00D016A4"/>
    <w:rsid w:val="00D43566"/>
    <w:rsid w:val="00D87221"/>
    <w:rsid w:val="00DA7FC0"/>
    <w:rsid w:val="00DD14CD"/>
    <w:rsid w:val="00DF4A54"/>
    <w:rsid w:val="00E07740"/>
    <w:rsid w:val="00E13D74"/>
    <w:rsid w:val="00E27D5E"/>
    <w:rsid w:val="00E96A39"/>
    <w:rsid w:val="00EE63D3"/>
    <w:rsid w:val="00F3142A"/>
    <w:rsid w:val="00F67971"/>
    <w:rsid w:val="00F95305"/>
    <w:rsid w:val="00FF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4A3D2"/>
  <w15:docId w15:val="{68FD2B9F-B607-41B6-8C46-2939D044D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7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117C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34"/>
    <w:locked/>
    <w:rsid w:val="002117CD"/>
    <w:rPr>
      <w:rFonts w:ascii="Calibri" w:eastAsia="Times New Roman" w:hAnsi="Calibri" w:cs="Times New Roman"/>
      <w:lang w:eastAsia="ru-RU"/>
    </w:rPr>
  </w:style>
  <w:style w:type="character" w:styleId="a6">
    <w:name w:val="annotation reference"/>
    <w:basedOn w:val="a0"/>
    <w:uiPriority w:val="99"/>
    <w:semiHidden/>
    <w:unhideWhenUsed/>
    <w:rsid w:val="00FF3A4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3A45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3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3A4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3A4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F3A4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3A4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2A5440"/>
    <w:pPr>
      <w:tabs>
        <w:tab w:val="right" w:pos="9360"/>
      </w:tabs>
    </w:pPr>
    <w:rPr>
      <w:sz w:val="28"/>
      <w:szCs w:val="24"/>
    </w:rPr>
  </w:style>
  <w:style w:type="character" w:customStyle="1" w:styleId="ae">
    <w:name w:val="Основной текст Знак"/>
    <w:basedOn w:val="a0"/>
    <w:link w:val="ad"/>
    <w:rsid w:val="002A544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seti.ru/about/propert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65F27-687B-49EE-8043-C394CF4F4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5962</Words>
  <Characters>33990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Андрианова Юлия Владимировна</dc:creator>
  <cp:lastModifiedBy>Зимина Галина Александровна</cp:lastModifiedBy>
  <cp:revision>8</cp:revision>
  <cp:lastPrinted>2019-01-16T11:42:00Z</cp:lastPrinted>
  <dcterms:created xsi:type="dcterms:W3CDTF">2019-01-16T10:26:00Z</dcterms:created>
  <dcterms:modified xsi:type="dcterms:W3CDTF">2019-01-16T11:42:00Z</dcterms:modified>
</cp:coreProperties>
</file>